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DF" w:rsidRPr="00F41BDF" w:rsidRDefault="00F41BDF" w:rsidP="00F41BDF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ar-SA"/>
        </w:rPr>
      </w:pPr>
      <w:bookmarkStart w:id="0" w:name="_GoBack"/>
      <w:bookmarkEnd w:id="0"/>
      <w:r w:rsidRPr="00F41BDF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>Проєкт</w:t>
      </w:r>
    </w:p>
    <w:p w:rsidR="00F41BDF" w:rsidRPr="00F41BDF" w:rsidRDefault="00F41BDF" w:rsidP="00F41BDF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>Міністерство освіти і науки України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технологій та дизайну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ind w:firstLine="594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360" w:lineRule="auto"/>
        <w:ind w:left="510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ЗАТВЕРДЖЕНО ВЧЕНОЮ РАДОЮ</w:t>
      </w:r>
    </w:p>
    <w:p w:rsidR="00F41BDF" w:rsidRPr="00F41BDF" w:rsidRDefault="00F41BDF" w:rsidP="00F41BDF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Голова Вченої ради КНУТД</w:t>
      </w:r>
    </w:p>
    <w:p w:rsidR="00F41BDF" w:rsidRPr="00F41BDF" w:rsidRDefault="00F41BDF" w:rsidP="00F41BDF">
      <w:pPr>
        <w:spacing w:before="240" w:after="0" w:line="360" w:lineRule="auto"/>
        <w:ind w:left="5103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_________________ Іван </w:t>
      </w:r>
      <w:r w:rsidRPr="00F41BDF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Грищенко</w:t>
      </w:r>
    </w:p>
    <w:p w:rsidR="00F41BDF" w:rsidRPr="00F41BDF" w:rsidRDefault="00F41BDF" w:rsidP="00F41BDF">
      <w:pPr>
        <w:spacing w:before="120"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(протокол від «___» _____ 2021 р. № ___ )</w:t>
      </w:r>
    </w:p>
    <w:p w:rsidR="00F41BDF" w:rsidRPr="00F41BDF" w:rsidRDefault="00F41BDF" w:rsidP="00F41BDF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eastAsia="ar-SA"/>
        </w:rPr>
      </w:pPr>
      <w:r w:rsidRPr="00F41BDF">
        <w:rPr>
          <w:rFonts w:ascii="Times New Roman" w:eastAsia="Calibri" w:hAnsi="Times New Roman" w:cs="Times New Roman"/>
          <w:b/>
          <w:bCs/>
          <w:caps/>
          <w:sz w:val="32"/>
          <w:szCs w:val="32"/>
          <w:lang w:eastAsia="ar-SA"/>
        </w:rPr>
        <w:t>освітньо-наукова Програма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________________</w:t>
      </w:r>
      <w:r w:rsidRPr="00F41BDF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Промислова фармація</w:t>
      </w:r>
      <w:r w:rsidRPr="00F41BD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_________________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Рівень вищої освіти __________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третій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>-науковий)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Ступінь вищої освіти _________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доктор філософії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Галузь знань ________________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>22 Охорона здоров’я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</w:t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</w:t>
      </w: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Спеціальність ______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>226 Фармація, промислова фармація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</w:t>
      </w: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Кваліфікація</w:t>
      </w:r>
      <w:r w:rsidRPr="00F41BDF">
        <w:rPr>
          <w:rFonts w:ascii="Times New Roman" w:eastAsia="Calibri" w:hAnsi="Times New Roman" w:cs="Times New Roman"/>
          <w:lang w:eastAsia="ar-SA"/>
        </w:rPr>
        <w:t xml:space="preserve"> ___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доктор філософії з фармації, промислової фармації</w:t>
      </w:r>
      <w:r w:rsidRPr="00F41BDF">
        <w:rPr>
          <w:rFonts w:ascii="Times New Roman" w:eastAsia="Calibri" w:hAnsi="Times New Roman" w:cs="Times New Roman"/>
          <w:lang w:eastAsia="ar-SA"/>
        </w:rPr>
        <w:t>_____________</w:t>
      </w:r>
    </w:p>
    <w:p w:rsidR="00F41BDF" w:rsidRPr="00F41BDF" w:rsidRDefault="00F41BDF" w:rsidP="00F41B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41BD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Київ 20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21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р.</w:t>
      </w:r>
    </w:p>
    <w:p w:rsidR="00F41BDF" w:rsidRPr="00F41BDF" w:rsidRDefault="00F41BDF" w:rsidP="00F41BDF">
      <w:pPr>
        <w:spacing w:after="200" w:line="276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41BDF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Лист погодження</w:t>
      </w:r>
    </w:p>
    <w:p w:rsidR="00F41BDF" w:rsidRPr="00F41BDF" w:rsidRDefault="00F41BDF" w:rsidP="00F41BDF">
      <w:pPr>
        <w:spacing w:before="120"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proofErr w:type="spellStart"/>
      <w:r w:rsidRPr="00F41BDF">
        <w:rPr>
          <w:rFonts w:ascii="Times New Roman" w:eastAsia="Calibri" w:hAnsi="Times New Roman" w:cs="Times New Roman"/>
          <w:sz w:val="28"/>
          <w:szCs w:val="28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</w:rPr>
        <w:t xml:space="preserve">-наукової програми </w:t>
      </w:r>
    </w:p>
    <w:p w:rsidR="00F41BDF" w:rsidRPr="00F41BDF" w:rsidRDefault="00F41BDF" w:rsidP="00F41BDF">
      <w:pPr>
        <w:spacing w:before="120"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41BDF">
        <w:rPr>
          <w:rFonts w:ascii="Times New Roman" w:eastAsia="Calibri" w:hAnsi="Times New Roman" w:cs="Times New Roman"/>
          <w:caps/>
          <w:sz w:val="28"/>
          <w:szCs w:val="28"/>
        </w:rPr>
        <w:t>___________</w:t>
      </w:r>
      <w:r w:rsidRPr="00F41BDF">
        <w:rPr>
          <w:rFonts w:ascii="Times New Roman" w:eastAsia="Calibri" w:hAnsi="Times New Roman" w:cs="Times New Roman"/>
          <w:caps/>
          <w:sz w:val="28"/>
          <w:szCs w:val="28"/>
          <w:u w:val="single"/>
        </w:rPr>
        <w:t>П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>ромислова</w:t>
      </w:r>
      <w:r w:rsidRPr="00F41BDF"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</w:t>
      </w:r>
      <w:r w:rsidRPr="00F41BDF">
        <w:rPr>
          <w:rFonts w:ascii="Times New Roman" w:eastAsia="Calibri" w:hAnsi="Times New Roman" w:cs="Times New Roman"/>
          <w:sz w:val="28"/>
          <w:szCs w:val="28"/>
          <w:u w:val="single"/>
        </w:rPr>
        <w:t>фармація</w:t>
      </w:r>
      <w:r w:rsidRPr="00F41BDF">
        <w:rPr>
          <w:rFonts w:ascii="Times New Roman" w:eastAsia="Calibri" w:hAnsi="Times New Roman" w:cs="Times New Roman"/>
          <w:caps/>
          <w:sz w:val="28"/>
          <w:szCs w:val="28"/>
        </w:rPr>
        <w:t>________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>Рівень вищої освіти</w:t>
      </w:r>
      <w:r w:rsidRPr="00F41BD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третій (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-науковий)</w:t>
      </w:r>
      <w:r w:rsidRPr="00F41BDF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>Ступінь вищої освіти</w:t>
      </w:r>
      <w:r w:rsidRPr="00F41BDF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доктор філософії</w:t>
      </w:r>
      <w:r w:rsidRPr="00F41BDF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>Галузь знань</w:t>
      </w:r>
      <w:r w:rsidRPr="00F41BDF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22 Охорона здоров’я</w:t>
      </w:r>
      <w:r w:rsidRPr="00F41BDF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>Спеціальність</w:t>
      </w:r>
      <w:r w:rsidRPr="00F41BDF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226 Фармація, промислова фармація</w:t>
      </w: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F41BDF" w:rsidRPr="00F41BDF" w:rsidRDefault="00F41BDF" w:rsidP="00F41BDF">
      <w:pPr>
        <w:tabs>
          <w:tab w:val="left" w:pos="4536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</w:rPr>
        <w:t xml:space="preserve">_______________   _______________________   </w:t>
      </w:r>
      <w:r w:rsidRPr="00F41BDF">
        <w:rPr>
          <w:rFonts w:ascii="Times New Roman" w:eastAsia="Calibri" w:hAnsi="Times New Roman" w:cs="Times New Roman"/>
          <w:b/>
          <w:sz w:val="24"/>
          <w:szCs w:val="24"/>
        </w:rPr>
        <w:t xml:space="preserve">Оксана </w:t>
      </w:r>
      <w:r w:rsidRPr="00F41BDF">
        <w:rPr>
          <w:rFonts w:ascii="Times New Roman" w:eastAsia="Calibri" w:hAnsi="Times New Roman" w:cs="Times New Roman"/>
          <w:b/>
          <w:caps/>
          <w:sz w:val="24"/>
          <w:szCs w:val="24"/>
        </w:rPr>
        <w:t>Моргулець</w:t>
      </w:r>
    </w:p>
    <w:p w:rsidR="00F41BDF" w:rsidRPr="00F41BDF" w:rsidRDefault="00F41BDF" w:rsidP="00F41BDF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Схвалено Вченою радою факультету</w:t>
      </w:r>
      <w:r w:rsidRPr="00F41BDF">
        <w:rPr>
          <w:rFonts w:ascii="Times New Roman" w:eastAsia="Calibri" w:hAnsi="Times New Roman" w:cs="Times New Roman"/>
        </w:rPr>
        <w:t xml:space="preserve"> 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хімічних та 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біофармацевтичних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технологій</w:t>
      </w:r>
      <w:r w:rsidRPr="00F41BDF">
        <w:rPr>
          <w:rFonts w:ascii="Times New Roman" w:eastAsia="Calibri" w:hAnsi="Times New Roman" w:cs="Times New Roman"/>
        </w:rPr>
        <w:t xml:space="preserve"> _______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>Протокол від «_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9</w:t>
      </w:r>
      <w:r w:rsidRPr="00F41BDF">
        <w:rPr>
          <w:rFonts w:ascii="Times New Roman" w:eastAsia="Calibri" w:hAnsi="Times New Roman" w:cs="Times New Roman"/>
          <w:sz w:val="24"/>
          <w:szCs w:val="24"/>
        </w:rPr>
        <w:t>_» ___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квіт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ня</w:t>
      </w:r>
      <w:r w:rsidRPr="00F41BDF">
        <w:rPr>
          <w:rFonts w:ascii="Times New Roman" w:eastAsia="Calibri" w:hAnsi="Times New Roman" w:cs="Times New Roman"/>
          <w:sz w:val="24"/>
          <w:szCs w:val="24"/>
        </w:rPr>
        <w:t>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2021</w:t>
      </w:r>
      <w:r w:rsidRPr="00F41BDF">
        <w:rPr>
          <w:rFonts w:ascii="Times New Roman" w:eastAsia="Calibri" w:hAnsi="Times New Roman" w:cs="Times New Roman"/>
          <w:sz w:val="24"/>
          <w:szCs w:val="24"/>
        </w:rPr>
        <w:t>___ року № 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F41BD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1BDF" w:rsidRPr="00F41BDF" w:rsidRDefault="00F41BDF" w:rsidP="00F41BDF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Декан факультету</w:t>
      </w:r>
      <w:r w:rsidRPr="00F41BDF">
        <w:rPr>
          <w:rFonts w:ascii="Times New Roman" w:eastAsia="Calibri" w:hAnsi="Times New Roman" w:cs="Times New Roman"/>
          <w:sz w:val="24"/>
          <w:szCs w:val="24"/>
        </w:rPr>
        <w:t xml:space="preserve">  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хімічних та 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біофармацевтичних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технологій</w:t>
      </w:r>
      <w:r w:rsidRPr="00F41BDF">
        <w:rPr>
          <w:rFonts w:ascii="Times New Roman" w:eastAsia="Calibri" w:hAnsi="Times New Roman" w:cs="Times New Roman"/>
          <w:sz w:val="24"/>
          <w:szCs w:val="24"/>
        </w:rPr>
        <w:t xml:space="preserve"> ____________________</w:t>
      </w:r>
    </w:p>
    <w:p w:rsidR="00F41BDF" w:rsidRPr="00F41BDF" w:rsidRDefault="00F41BDF" w:rsidP="00F41BD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</w:rPr>
        <w:t xml:space="preserve">____________                 _______________________   </w:t>
      </w:r>
      <w:r w:rsidRPr="00F41BDF">
        <w:rPr>
          <w:rFonts w:ascii="Times New Roman" w:eastAsia="Calibri" w:hAnsi="Times New Roman" w:cs="Times New Roman"/>
          <w:b/>
        </w:rPr>
        <w:t>Ольга БАУЛА</w:t>
      </w:r>
    </w:p>
    <w:p w:rsidR="00F41BDF" w:rsidRPr="00F41BDF" w:rsidRDefault="00F41BDF" w:rsidP="00F41BDF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</w:t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 xml:space="preserve">Завідувач відділу докторантури та аспірантури </w:t>
      </w:r>
    </w:p>
    <w:p w:rsidR="00F41BDF" w:rsidRPr="00F41BDF" w:rsidRDefault="00F41BDF" w:rsidP="00F41BDF">
      <w:pPr>
        <w:spacing w:before="120"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</w:rPr>
        <w:t xml:space="preserve">_______________   _______________________   </w:t>
      </w:r>
      <w:r w:rsidRPr="00F41BDF">
        <w:rPr>
          <w:rFonts w:ascii="Times New Roman" w:eastAsia="Calibri" w:hAnsi="Times New Roman" w:cs="Times New Roman"/>
          <w:b/>
          <w:sz w:val="24"/>
          <w:szCs w:val="24"/>
        </w:rPr>
        <w:t xml:space="preserve">Світлана </w:t>
      </w:r>
      <w:r w:rsidRPr="00F41BDF">
        <w:rPr>
          <w:rFonts w:ascii="Times New Roman" w:eastAsia="Calibri" w:hAnsi="Times New Roman" w:cs="Times New Roman"/>
          <w:b/>
          <w:caps/>
          <w:sz w:val="24"/>
          <w:szCs w:val="24"/>
        </w:rPr>
        <w:t>Арабулі</w:t>
      </w:r>
    </w:p>
    <w:p w:rsidR="00F41BDF" w:rsidRPr="00F41BDF" w:rsidRDefault="00F41BDF" w:rsidP="00F41BDF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Обговорено та рекомендовано на засіданні кафедри</w:t>
      </w:r>
      <w:r w:rsidRPr="00F41BDF">
        <w:rPr>
          <w:rFonts w:ascii="Times New Roman" w:eastAsia="Calibri" w:hAnsi="Times New Roman" w:cs="Times New Roman"/>
        </w:rPr>
        <w:t xml:space="preserve"> 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промислової фармації</w:t>
      </w:r>
    </w:p>
    <w:p w:rsidR="00F41BDF" w:rsidRPr="00F41BDF" w:rsidRDefault="00F41BDF" w:rsidP="00F41BD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>Протокол від «_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F41BDF">
        <w:rPr>
          <w:rFonts w:ascii="Times New Roman" w:eastAsia="Calibri" w:hAnsi="Times New Roman" w:cs="Times New Roman"/>
          <w:sz w:val="24"/>
          <w:szCs w:val="24"/>
        </w:rPr>
        <w:t>_» ___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березня</w:t>
      </w:r>
      <w:r w:rsidRPr="00F41BDF">
        <w:rPr>
          <w:rFonts w:ascii="Times New Roman" w:eastAsia="Calibri" w:hAnsi="Times New Roman" w:cs="Times New Roman"/>
          <w:sz w:val="24"/>
          <w:szCs w:val="24"/>
        </w:rPr>
        <w:t>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2021</w:t>
      </w:r>
      <w:r w:rsidRPr="00F41BDF">
        <w:rPr>
          <w:rFonts w:ascii="Times New Roman" w:eastAsia="Calibri" w:hAnsi="Times New Roman" w:cs="Times New Roman"/>
          <w:sz w:val="24"/>
          <w:szCs w:val="24"/>
        </w:rPr>
        <w:t>___ року № __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F41BD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Завідувач кафедри</w:t>
      </w:r>
      <w:r w:rsidRPr="00F41BDF">
        <w:rPr>
          <w:rFonts w:ascii="Times New Roman" w:eastAsia="Calibri" w:hAnsi="Times New Roman" w:cs="Times New Roman"/>
        </w:rPr>
        <w:t xml:space="preserve">  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</w:rPr>
        <w:t>промислової фармації</w:t>
      </w:r>
      <w:r w:rsidRPr="00F41BDF">
        <w:rPr>
          <w:rFonts w:ascii="Times New Roman" w:eastAsia="Calibri" w:hAnsi="Times New Roman" w:cs="Times New Roman"/>
        </w:rPr>
        <w:t xml:space="preserve">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</w:rPr>
        <w:t xml:space="preserve">____________          _______________________   </w:t>
      </w:r>
      <w:r w:rsidRPr="00F41BDF">
        <w:rPr>
          <w:rFonts w:ascii="Times New Roman" w:eastAsia="Calibri" w:hAnsi="Times New Roman" w:cs="Times New Roman"/>
          <w:b/>
        </w:rPr>
        <w:t>Владислав СТРАШНИЙ</w:t>
      </w:r>
    </w:p>
    <w:p w:rsidR="00F41BDF" w:rsidRPr="00F41BDF" w:rsidRDefault="00F41BDF" w:rsidP="00F41BDF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Гарант освітньої програми</w:t>
      </w:r>
      <w:r w:rsidRPr="00F41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</w:rPr>
      </w:pPr>
      <w:r w:rsidRPr="00F41BDF">
        <w:rPr>
          <w:rFonts w:ascii="Times New Roman" w:eastAsia="Calibri" w:hAnsi="Times New Roman" w:cs="Times New Roman"/>
        </w:rPr>
        <w:t xml:space="preserve">____________         _______________________     </w:t>
      </w:r>
      <w:r w:rsidRPr="00F41BDF">
        <w:rPr>
          <w:rFonts w:ascii="Times New Roman" w:eastAsia="Calibri" w:hAnsi="Times New Roman" w:cs="Times New Roman"/>
          <w:b/>
        </w:rPr>
        <w:t>Сергій ДІХТЯРЬОВ</w:t>
      </w:r>
    </w:p>
    <w:p w:rsidR="00F41BDF" w:rsidRPr="00F41BDF" w:rsidRDefault="00F41BDF" w:rsidP="00F41BDF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</w:r>
      <w:r w:rsidRPr="00F41BDF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F41BDF" w:rsidRPr="00F41BDF" w:rsidRDefault="00F41BDF" w:rsidP="00F41BD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DF">
        <w:rPr>
          <w:rFonts w:ascii="Times New Roman" w:eastAsia="Calibri" w:hAnsi="Times New Roman" w:cs="Times New Roman"/>
          <w:sz w:val="24"/>
          <w:szCs w:val="24"/>
        </w:rPr>
        <w:t xml:space="preserve">Введено в дію наказом КНУТД від «___» _________ 20 __  року № ____ </w:t>
      </w:r>
    </w:p>
    <w:p w:rsidR="00F41BDF" w:rsidRPr="00F41BDF" w:rsidRDefault="00F41BDF" w:rsidP="00F41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BDF" w:rsidRPr="00F41BDF" w:rsidRDefault="00F41BDF" w:rsidP="00F41BDF">
      <w:pPr>
        <w:spacing w:after="200" w:line="276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 w:type="page"/>
      </w:r>
      <w:r w:rsidRPr="00F41BDF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lastRenderedPageBreak/>
        <w:t>Передмова</w:t>
      </w:r>
    </w:p>
    <w:p w:rsidR="00F41BDF" w:rsidRPr="00F41BDF" w:rsidRDefault="00F41BDF" w:rsidP="00F41BD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41BDF" w:rsidRPr="00F41BDF" w:rsidRDefault="00F41BDF" w:rsidP="00F41B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41BD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РОЗРОБЛЕНО: </w:t>
      </w:r>
      <w:r w:rsidRPr="00F41B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Київський національний університет технологій та дизайну</w:t>
      </w:r>
    </w:p>
    <w:p w:rsidR="00F41BDF" w:rsidRPr="00F41BDF" w:rsidRDefault="00F41BDF" w:rsidP="00F41B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BDF">
        <w:rPr>
          <w:rFonts w:ascii="Times New Roman" w:eastAsia="Calibri" w:hAnsi="Times New Roman" w:cs="Times New Roman"/>
          <w:caps/>
          <w:sz w:val="24"/>
          <w:szCs w:val="24"/>
        </w:rPr>
        <w:t>розробники</w:t>
      </w:r>
      <w:r w:rsidRPr="00F41B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Гарант освітньої програми  </w:t>
      </w:r>
      <w:proofErr w:type="spellStart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Діхтярьов</w:t>
      </w:r>
      <w:proofErr w:type="spellEnd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Сергій Іванович, </w:t>
      </w:r>
      <w:proofErr w:type="spellStart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д.фарм.н</w:t>
      </w:r>
      <w:proofErr w:type="spellEnd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., професор, 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професор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br/>
        <w:t xml:space="preserve">                                                кафедри промислової фармації   Київського національного 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br/>
        <w:t xml:space="preserve">                                                університету технологій та дизайну</w:t>
      </w: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Члени робочої групи: </w:t>
      </w:r>
    </w:p>
    <w:p w:rsidR="00F41BDF" w:rsidRPr="00F41BDF" w:rsidRDefault="00F41BDF" w:rsidP="00F41BDF">
      <w:pPr>
        <w:spacing w:before="240" w:after="0" w:line="240" w:lineRule="auto"/>
        <w:ind w:right="28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Страшний Владислав Володимирович</w:t>
      </w:r>
      <w:r w:rsidRPr="00F41B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</w:rPr>
        <w:t>д.фарм.н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</w:rPr>
        <w:t>., професор, завідуючий кафедрою промислової фармації Київського національного університету технологій та дизайну;</w:t>
      </w:r>
    </w:p>
    <w:p w:rsidR="00F41BDF" w:rsidRPr="00F41BDF" w:rsidRDefault="00F41BDF" w:rsidP="00F41BDF">
      <w:pPr>
        <w:spacing w:after="0" w:line="240" w:lineRule="auto"/>
        <w:ind w:right="2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Бессарабов</w:t>
      </w:r>
      <w:proofErr w:type="spellEnd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Володимир Іванович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к.х.н</w:t>
      </w:r>
      <w:proofErr w:type="spellEnd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., доцент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 доцент кафедри промислової фармації   Київського національного університету технологій та дизайну;</w:t>
      </w: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u-RU" w:eastAsia="ar-SA"/>
        </w:rPr>
        <w:t>Кузьм</w:t>
      </w:r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іна</w:t>
      </w:r>
      <w:proofErr w:type="spellEnd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Галина Іванівна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к.х.н</w:t>
      </w:r>
      <w:proofErr w:type="spellEnd"/>
      <w:r w:rsidRPr="00F41BD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., доцент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 доцент кафедри промислової фармації   Київського національного університету технологій та дизайну;</w:t>
      </w: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F41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Сур</w:t>
      </w:r>
      <w:proofErr w:type="spellEnd"/>
      <w:r w:rsidRPr="00F41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Сергій Володимирович, 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</w:rPr>
        <w:t>д.фарм.н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</w:rPr>
        <w:t>. директор ТОВ «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</w:rPr>
        <w:t>Артеріум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</w:rPr>
        <w:t xml:space="preserve"> ЛТД»;</w:t>
      </w: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F41BDF" w:rsidRPr="00F41BDF" w:rsidRDefault="00F41BDF" w:rsidP="00F41BDF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1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Здерко</w:t>
      </w:r>
      <w:proofErr w:type="spellEnd"/>
      <w:r w:rsidRPr="00F41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Назар Петрович, аспірант </w:t>
      </w:r>
      <w:r w:rsidRPr="00F41B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кафедри промислової фармації Київського національного університету технологій та дизайну</w:t>
      </w:r>
      <w:r w:rsidRPr="00F41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1BDF" w:rsidRPr="00F41BDF" w:rsidRDefault="00F41BDF" w:rsidP="00F41BDF">
      <w:pPr>
        <w:spacing w:after="0" w:line="240" w:lineRule="auto"/>
        <w:ind w:left="3539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BDF" w:rsidRPr="00F41BDF" w:rsidRDefault="00F41BDF" w:rsidP="00F41BD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BDF" w:rsidRPr="00F41BDF" w:rsidRDefault="00F41BDF" w:rsidP="00F41BD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DF">
        <w:rPr>
          <w:rFonts w:ascii="Times New Roman" w:eastAsia="Calibri" w:hAnsi="Times New Roman" w:cs="Times New Roman"/>
          <w:b/>
          <w:sz w:val="24"/>
          <w:szCs w:val="24"/>
        </w:rPr>
        <w:t>РЕЦЕНЗІЇ ЗОВНІШНІХ СТЕЙКХОЛДЕРІВ</w:t>
      </w:r>
      <w:r w:rsidRPr="00F41B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1BDF" w:rsidRPr="00F41BDF" w:rsidRDefault="00F41BDF" w:rsidP="00F41BDF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Гуреєва С.М., начальник 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відділу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технологічної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розробки Департаменту досліджень та розробки АТ «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Фармак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F41BDF" w:rsidRPr="00F41BDF" w:rsidRDefault="00F41BDF" w:rsidP="00F41BDF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Салій О.О., генеральний директор  ТОВ «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БіоТестЛаб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F41BDF" w:rsidRPr="00F41BDF" w:rsidRDefault="00F41BDF" w:rsidP="00F41BD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F41BDF" w:rsidRPr="00F41BDF" w:rsidRDefault="00F41BDF" w:rsidP="00F41BD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Кришталь О.О., </w:t>
      </w:r>
      <w:r w:rsidRPr="00F41BD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директор </w:t>
      </w:r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Інститут</w:t>
      </w:r>
      <w:r w:rsidRPr="00F41BD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</w:t>
      </w:r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фізіології ім. О.О. Богомольця НАН України;</w:t>
      </w:r>
    </w:p>
    <w:p w:rsidR="00F41BDF" w:rsidRPr="00F41BDF" w:rsidRDefault="00F41BDF" w:rsidP="00F41BD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BDF" w:rsidRPr="00F41BDF" w:rsidRDefault="00F41BDF" w:rsidP="00F41BD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Калафат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К.В., директор ТОВ «</w:t>
      </w:r>
      <w:proofErr w:type="spellStart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>Ковлар</w:t>
      </w:r>
      <w:proofErr w:type="spellEnd"/>
      <w:r w:rsidRPr="00F41B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Груп».</w:t>
      </w:r>
    </w:p>
    <w:p w:rsidR="00F41BDF" w:rsidRPr="00F41BDF" w:rsidRDefault="00F41BDF" w:rsidP="00F41BDF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DF" w:rsidRPr="00F41BDF" w:rsidRDefault="00F41BDF" w:rsidP="00F41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DF" w:rsidRPr="00F41BDF" w:rsidRDefault="00F41BDF" w:rsidP="00F41BDF">
      <w:pPr>
        <w:numPr>
          <w:ilvl w:val="3"/>
          <w:numId w:val="1"/>
        </w:numPr>
        <w:ind w:left="426"/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ar-SA"/>
        </w:rPr>
      </w:pPr>
      <w:r w:rsidRPr="00F41BDF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proofErr w:type="spellStart"/>
      <w:r w:rsidRPr="00F41BDF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lastRenderedPageBreak/>
        <w:t>Профіль</w:t>
      </w:r>
      <w:proofErr w:type="spellEnd"/>
      <w:r w:rsidRPr="00F41BDF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освітньо-наукової</w:t>
      </w:r>
      <w:proofErr w:type="spellEnd"/>
      <w:r w:rsidRPr="00F41BDF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програми</w:t>
      </w:r>
      <w:proofErr w:type="spellEnd"/>
      <w:r w:rsidRPr="00F41BDF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</w:t>
      </w:r>
      <w:r w:rsidRPr="00F41BD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П</w:t>
      </w:r>
      <w:proofErr w:type="spellStart"/>
      <w:r w:rsidRPr="00F41BDF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ar-SA"/>
        </w:rPr>
        <w:t>ромислова</w:t>
      </w:r>
      <w:proofErr w:type="spellEnd"/>
      <w:r w:rsidRPr="00F41BDF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ar-SA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ar-SA"/>
        </w:rPr>
        <w:t>фармація</w:t>
      </w:r>
      <w:proofErr w:type="spellEnd"/>
      <w:r w:rsidRPr="00F41BDF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ar-SA"/>
        </w:rPr>
        <w:t xml:space="preserve"> </w:t>
      </w:r>
    </w:p>
    <w:p w:rsidR="00F41BDF" w:rsidRPr="00F41BDF" w:rsidRDefault="00F41BDF" w:rsidP="00F41BDF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val="ru-RU"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0"/>
        <w:gridCol w:w="29"/>
        <w:gridCol w:w="1238"/>
        <w:gridCol w:w="15"/>
        <w:gridCol w:w="20"/>
        <w:gridCol w:w="115"/>
        <w:gridCol w:w="710"/>
        <w:gridCol w:w="6520"/>
      </w:tblGrid>
      <w:tr w:rsidR="00F41BDF" w:rsidRPr="00F41BDF" w:rsidTr="00F41BDF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 xml:space="preserve">1 – </w:t>
            </w: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Загальна інформація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Київський національний університет технологій та дизайну,</w:t>
            </w:r>
          </w:p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кафедра промислової фармації.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right="3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Рівень вищої освіти – третій (</w:t>
            </w:r>
            <w:proofErr w:type="spellStart"/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освітньо</w:t>
            </w:r>
            <w:proofErr w:type="spellEnd"/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-науковий).</w:t>
            </w:r>
          </w:p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Ступінь вищої освіти – доктор філософії.</w:t>
            </w:r>
          </w:p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Галузь знань – 22 Охорона здоров’я.</w:t>
            </w:r>
          </w:p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Спеціальність – 226 Фармація, промислова фармація.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Диплом доктора філософії, одиничний, 48 кредитів ЄКТС.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Наявність акредитації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0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Цикл/рівень</w:t>
            </w:r>
            <w:r w:rsidRPr="00F41BDF">
              <w:rPr>
                <w:rFonts w:ascii="Times New Roman" w:eastAsia="SimSu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Національна рамка кваліфікацій України – восьмий рівень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Передумови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тупінь</w:t>
            </w:r>
            <w:proofErr w:type="spellEnd"/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магістра або освітньо-кваліфікаційний рівень спеціаліста.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Мова(и) викладання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Українська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F41BDF" w:rsidRPr="00F41BDF" w:rsidTr="00F41BDF">
        <w:trPr>
          <w:trHeight w:val="106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right="-4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A4E7C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hyperlink r:id="rId5" w:history="1"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http://knutd.</w:t>
              </w:r>
              <w:proofErr w:type="spellStart"/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ua</w:t>
              </w:r>
              <w:proofErr w:type="spellEnd"/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ekts</w:t>
              </w:r>
              <w:proofErr w:type="spellEnd"/>
              <w:r w:rsidR="00F41BDF" w:rsidRPr="00F41BD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</w:hyperlink>
          </w:p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Підготовка докторів філософії за спеціальністю 226 Фармація, промислова фармація, які володіють глибокими знаннями, а також базовими й професійними </w:t>
            </w:r>
            <w:proofErr w:type="spellStart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галузі фармації, промислової фармації та здатних </w:t>
            </w: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продукувати нові ідеї, </w:t>
            </w: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розв’язувати комплексні проблеми професійної та дослідницько-інноваційної діяльності, що передбачає глибоке переосмислення наявних та створення нових цілісних знань та професійної практики.</w:t>
            </w:r>
          </w:p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Основними цілями програми є:</w:t>
            </w:r>
            <w:r w:rsidRPr="00F41BDF">
              <w:rPr>
                <w:rFonts w:ascii="Calibri" w:eastAsia="Calibri" w:hAnsi="Calibri" w:cs="Times New Roman"/>
              </w:rPr>
              <w:t xml:space="preserve"> </w:t>
            </w: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здобуття теоретичних знань, умінь, навичок та інших </w:t>
            </w:r>
            <w:proofErr w:type="spellStart"/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 достатніх для професійної та дослідницько-інноваційній діяльності у галузі фармації, промислової фармації,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 практичне значення.</w:t>
            </w:r>
            <w:r w:rsidRPr="00F41BDF">
              <w:rPr>
                <w:rFonts w:ascii="Times New Roman" w:eastAsia="SimSun" w:hAnsi="Times New Roman" w:cs="Times New Roman"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F41BDF" w:rsidRPr="00F41BDF" w:rsidTr="00F41BDF"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Предметна область</w:t>
            </w:r>
          </w:p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</w:t>
            </w:r>
            <w:proofErr w:type="spellStart"/>
            <w:r w:rsidRPr="00F41B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компетентностей</w:t>
            </w:r>
            <w:proofErr w:type="spellEnd"/>
            <w:r w:rsidRPr="00F41B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щодо набуття глибинних знань зі спеціальності, володіння загальнонауковими (філософськими) </w:t>
            </w:r>
            <w:proofErr w:type="spellStart"/>
            <w:r w:rsidRPr="00F41B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компетентностями</w:t>
            </w:r>
            <w:proofErr w:type="spellEnd"/>
            <w:r w:rsidRPr="00F41B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Обов’язкові навчальні дисципліни – 75%, з них: обов’язкові дисципліни професійної підготовки –  41 %, загальної підготовки – 42%, знання іноземної мови – 17 %, дисципліни вільного вибору здобувача, що забезпечують професійну підготовку – 25% обираються із загально-університетського каталогу відповідно до затвердженої процедури в Університеті.</w:t>
            </w:r>
          </w:p>
        </w:tc>
      </w:tr>
      <w:tr w:rsidR="00F41BDF" w:rsidRPr="00F41BDF" w:rsidTr="00F41BDF"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Орієнтація програми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Освітньо</w:t>
            </w:r>
            <w:proofErr w:type="spellEnd"/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-наукова для підготовки доктора філософії </w:t>
            </w:r>
          </w:p>
        </w:tc>
      </w:tr>
      <w:tr w:rsidR="00F41BDF" w:rsidRPr="00F41BDF" w:rsidTr="00F41BDF"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 xml:space="preserve">Основний фокус програми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Акцент робиться на формуванні та розвитку професійних </w:t>
            </w:r>
            <w:proofErr w:type="spellStart"/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компетентностей</w:t>
            </w:r>
            <w:proofErr w:type="spellEnd"/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у сфері науково-практичних досліджень у галузі фармації, промислової фармації; вивченні теоретичних та методичних положень, організаційних та практичних інструментів, достатніх для </w:t>
            </w: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lastRenderedPageBreak/>
              <w:t>продукування нових ідей, розв’язання комплексних проблем у фармації, промисловій фармації та дослідницько-інноваційній діяльності, оволодіння методологією наукової та педагогічної діяльності.</w:t>
            </w:r>
          </w:p>
        </w:tc>
      </w:tr>
      <w:tr w:rsidR="00F41BDF" w:rsidRPr="00F41BDF" w:rsidTr="00F41BDF"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Програма базується на вивченні та оволодінні сучасними методами наукового дослідження у фармації, промисловій фармації та суміжних спеціальностях відповідно до напрямку наукового проекту, поглибленому вивченні спеціальності за напрямком наукового дослідження, розвиток </w:t>
            </w:r>
            <w:proofErr w:type="spellStart"/>
            <w:r w:rsidRPr="00F41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мовних</w:t>
            </w:r>
            <w:proofErr w:type="spellEnd"/>
            <w:r w:rsidRPr="00F41B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компетенцій та комунікаційних навичок, засвоєння технології презентації результатів наукового дослідження та інших компетенцій, які є необхідними для виконання оригінального наукового дослідження та впровадження наукових результатів. 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4 – Придатність випускників до працевлаштування та  подальшого навчання</w:t>
            </w:r>
          </w:p>
        </w:tc>
      </w:tr>
      <w:tr w:rsidR="00F41BDF" w:rsidRPr="00F41BDF" w:rsidTr="00F41BDF"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Випускник є придатним для працевлаштування на підприємствах, в компаніях, організаціях та установах, що функціонують в фармацевтичній галузі,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виконуючи відповідні функції</w:t>
            </w: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професіонала промислової фармації; в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науково-дослідних інститутах, наукових центрах і закладах вищої освіти, обіймаючи посади науково-педагогічних працівників, наукового співробітника</w:t>
            </w: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1BDF" w:rsidRPr="00F41BDF" w:rsidTr="00F41BDF"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навчання на науковому рівні вищої освіти (доктор наук). 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F41BDF" w:rsidRPr="00F41BDF" w:rsidTr="00F41BDF"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Модель передбачає активне навчання аспіранта, в тому числі навчання через проведення наукових досліджень. Застосовується </w:t>
            </w:r>
            <w:proofErr w:type="spellStart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студентоцентрована</w:t>
            </w:r>
            <w:proofErr w:type="spellEnd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модель навчання, самонавчання, проблемно-орієнтоване навчання. Система методів проблемно-розвиваючого навчання ґрунтується на принципах цілеспрямованості, </w:t>
            </w:r>
            <w:proofErr w:type="spellStart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бінарності</w:t>
            </w:r>
            <w:proofErr w:type="spellEnd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(безпосередня взаємодія викладача та аспіранта); її складають інтерактивні методи навчання, спрямовані на стимуляцію аналітичних та креативних здібностей, спроможність генерувати ідеї, створювати концепції, розробляти наукові проекти, спрямовані на отримання нових знань у сфері фармації та промислової фармації, а також методи комп'ютерного прогнозування та планування експерименту; методи аналізу даних; хімічні та фізико-хімічні методи аналізу; </w:t>
            </w:r>
            <w:proofErr w:type="spellStart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біофармацевтичні</w:t>
            </w:r>
            <w:proofErr w:type="spellEnd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-технологічні, фармакологічні методи; методи статистичної обробки даних.</w:t>
            </w:r>
          </w:p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Форми організації освітнього процесу: лекція, семінарське, практичне заняття, практична підготовка, самостійна робота, консультація, розробка фахових проектів (робіт)</w:t>
            </w:r>
          </w:p>
        </w:tc>
      </w:tr>
      <w:tr w:rsidR="00F41BDF" w:rsidRPr="00F41BDF" w:rsidTr="00F41BDF"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Екзамени, заліки, тести, проектні роботи, презентації, звіти.</w:t>
            </w:r>
          </w:p>
        </w:tc>
      </w:tr>
      <w:tr w:rsidR="00F41BDF" w:rsidRPr="00F41BDF" w:rsidTr="00F41BDF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Інтегральна компетентність</w:t>
            </w: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(ІК)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Здатність продукувати нові ідеї, розв'язувати комплексні проблеми професійної та/або дослідницько-інноваційної діяльності у галузі фармації, промислової фармації;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(ЗК)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абстрактного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синтезу.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розробляти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управляти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ними.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генерувати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ідеї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системного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наукового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мистецького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світогляду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етики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культурного кругозору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спілкуватися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іноземною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використовувати інформаційні та комунікаційні технології. </w:t>
            </w:r>
          </w:p>
        </w:tc>
      </w:tr>
      <w:tr w:rsidR="00F41BDF" w:rsidRPr="00F41BDF" w:rsidTr="00F41BDF">
        <w:trPr>
          <w:trHeight w:val="106"/>
        </w:trPr>
        <w:tc>
          <w:tcPr>
            <w:tcW w:w="2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Фахові компетентності</w:t>
            </w: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 (</w:t>
            </w:r>
            <w:r w:rsidRPr="00F41BDF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  <w:t>ФК)</w:t>
            </w:r>
          </w:p>
          <w:p w:rsidR="00F41BDF" w:rsidRPr="00F41BDF" w:rsidRDefault="00F41BDF" w:rsidP="00F41BDF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</w:p>
          <w:p w:rsidR="00F41BDF" w:rsidRPr="00F41BDF" w:rsidRDefault="00F41BDF" w:rsidP="00F41BDF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здійснювати науково-педагогічну діяльність.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виконувати оригінальні дослідження, досягати наукових результатів, які створюють нові знання у фармації, промисловій фармації та дотичних до них міждисциплінарних напрямках і можуть бути опубліковані у провідних наукових виданнях з фармацевтичних наук та суміжних галузей.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іноземною мовою (англійською або іншою відповідно до специфіки спеціальності), глибоке розуміння наукових текстів іноземною мовою за напрямом досліджень.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застосовувати сучасні методології, методів та інструментів педагогічної та наукової діяльності за фахом, зокрема сучасні інформаційні технології, бази даних та інші електронні ресурси, спеціалізоване програмне забезпечення. 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виявляти, ставити та вирішувати проблеми дослідницького характеру в сфері фармації та промислової фармації, розробляти і реалізовувати комплексні теоретичні та експериментальні дослідження, оцінювати та забезпечувати якість виконуваних досліджень.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продукувати нові ідеї та розв’язувати комплексні проблеми у галузі професійної та/або дослідницько-інноваційної діяльності; в тому числі ініціювати, розробляти і реалізовувати комплексні інноваційні проекти у фармації та промисловій фармації та дотичні до них міждисциплінарні проекти.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</w:tc>
      </w:tr>
      <w:tr w:rsidR="00F41BDF" w:rsidRPr="00F41BDF" w:rsidTr="00F41BDF">
        <w:tc>
          <w:tcPr>
            <w:tcW w:w="2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left="-30"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ФК 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Системний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науковий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світогляд</w:t>
            </w:r>
            <w:proofErr w:type="spellEnd"/>
            <w:r w:rsidRPr="00F41BD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та загальнокультурний кругозір.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41BDF" w:rsidRPr="00F41BDF" w:rsidRDefault="00F41BDF" w:rsidP="00F41BD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– Програмні результати навчання </w:t>
            </w:r>
          </w:p>
        </w:tc>
      </w:tr>
      <w:tr w:rsidR="00F41BDF" w:rsidRPr="00F41BDF" w:rsidTr="00F41BDF">
        <w:trPr>
          <w:trHeight w:val="30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Знання та розуміння: 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1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Мати передові концептуальні та методологічні знання з фармації та промислової фармації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2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Мати знання та розуміння загальних принципів та методів фармацевтичних наук, а також методології науково-педагогічної та наукової діяльності для   застосування їх у власних дослідженнях та у викладацькій практиці.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Застосування знань та розумінь (уміння): 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3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Вміти формулювати і перевіряти наукові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спостережень, моніторингу тощо) і математичного та/або комп’ютерного моделювання, наявні літературні дані; планувати та реалізувати на практиці оригінальне самостійне наукове дослідження, яке має наукову новизну, теоретичну і практичну цінність.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ПРН 4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Вміти розробляти  та досліджувати концептуальні, математичні і комп’ютерні моделі  процесів і систем, ефективно використовувати їх для отримання нових знань та/або створення інноваційних продуктів у фармації та дотичних між-дисциплінарних напрямах.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5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Вміти планувати і виконувати експериментальні та/або теоретичні дослідження з технології фармацевтичних препаратів, фармацевтичної хімії та фармакогнозії; стандартизації та організації виробництва лікарських засобів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6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Вміти застосовувати сучасні методи та інструменти, сучасні методології пошуку, оброблення та аналізу інформації</w:t>
            </w:r>
            <w:r w:rsidRPr="00F41BDF">
              <w:rPr>
                <w:rFonts w:ascii="Calibri" w:eastAsia="Calibri" w:hAnsi="Calibri" w:cs="Times New Roman"/>
              </w:rPr>
              <w:t xml:space="preserve">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41BDF">
              <w:rPr>
                <w:rFonts w:ascii="Calibri" w:eastAsia="Calibri" w:hAnsi="Calibri" w:cs="Times New Roman"/>
              </w:rPr>
              <w:t xml:space="preserve">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педагогічній та науковій діяльності,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</w:tc>
      </w:tr>
      <w:tr w:rsidR="00F41BDF" w:rsidRPr="00F41BDF" w:rsidTr="00F41BD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7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Розробляти та реалізовувати наукові та/або інноваційні проекти, які дають можливість переосмислити наявне та створити нове цілісне знання та/або професійну практику і розв’язувати значущі наукові проблеми у фармації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Формування суджень: </w:t>
            </w:r>
          </w:p>
        </w:tc>
      </w:tr>
      <w:tr w:rsidR="00F41BDF" w:rsidRPr="00F41BDF" w:rsidTr="00F41BDF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ПРН 8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Уміння вільно презентувати та обговорювати з фахівцями і нефахівцями результати досліджень, наукові та прикладні проблеми у фармації державною та іноземною мовами,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коректно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аналізувати та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F41BDF" w:rsidRPr="00F41BDF" w:rsidTr="00F41BDF"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tabs>
                <w:tab w:val="left" w:pos="0"/>
                <w:tab w:val="left" w:pos="36"/>
              </w:tabs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Всі науково-педагогічні працівники, що забезпечують </w:t>
            </w:r>
            <w:proofErr w:type="spellStart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-наукову програму за кваліфікацією </w:t>
            </w:r>
            <w:r w:rsidRPr="00F41BDF">
              <w:rPr>
                <w:rFonts w:ascii="Times New Roman" w:eastAsia="SimSun" w:hAnsi="Times New Roman" w:cs="Times New Roman"/>
                <w:spacing w:val="-4"/>
                <w:sz w:val="24"/>
                <w:szCs w:val="24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дослідницької/управлінської/інноваційної/творчої роботи та/або роботи за фахом та іноземні лектори.</w:t>
            </w:r>
          </w:p>
        </w:tc>
      </w:tr>
      <w:tr w:rsidR="00F41BDF" w:rsidRPr="00F41BDF" w:rsidTr="00F41BDF"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F41BDF" w:rsidRPr="00F41BDF" w:rsidTr="00F41BDF"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sz w:val="24"/>
                <w:szCs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F41BDF" w:rsidRPr="00F41BDF" w:rsidTr="00F41BDF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F41BDF" w:rsidRPr="00F41BDF" w:rsidTr="00F41BDF"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Передбачає можливість національної кредитної мобільності за деякими навчальними модулями, що забезпечують набуття загальних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та фахових </w:t>
            </w:r>
            <w:proofErr w:type="spellStart"/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41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1BDF" w:rsidRPr="00F41BDF" w:rsidTr="00F41BDF"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Програма розвиває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середовищі. </w:t>
            </w: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Мобільність студентів організовується на підставі партнерської  угоди про співробітництво із зарубіжними університетами  про  участь у міжнародних освітніх програмах, які дають можливість: одержати додаткові знання у суміжних галузях науки; удосконалювати рівень володіння іноземною мовою; ознайомитися  </w:t>
            </w: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lastRenderedPageBreak/>
              <w:t>із зарубіжною культурою, історією; одержати диплом зарубіжного  університету.</w:t>
            </w:r>
          </w:p>
          <w:p w:rsidR="00F41BDF" w:rsidRPr="00F41BDF" w:rsidRDefault="00F41BDF" w:rsidP="00F41BD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</w:p>
        </w:tc>
      </w:tr>
      <w:tr w:rsidR="00F41BDF" w:rsidRPr="00F41BDF" w:rsidTr="00F41BDF"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DF" w:rsidRPr="00F41BDF" w:rsidRDefault="00F41BDF" w:rsidP="00F41BD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41B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F41BDF" w:rsidRPr="00F41BDF" w:rsidRDefault="00F41BDF" w:rsidP="00F41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41BDF" w:rsidRPr="00F41BDF" w:rsidRDefault="00F41BDF" w:rsidP="00F41BDF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41BDF" w:rsidRPr="00F41BDF" w:rsidRDefault="00F41BDF" w:rsidP="00F41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 Перелік компонентів </w:t>
      </w:r>
      <w:proofErr w:type="spellStart"/>
      <w:r w:rsidRPr="00F41BD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-наукової програми та їх логічна послідовність</w:t>
      </w:r>
    </w:p>
    <w:p w:rsidR="00F41BDF" w:rsidRPr="00F41BDF" w:rsidRDefault="00F41BDF" w:rsidP="00F41BD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 Перелік компонентів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-наукової програми третього (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-наукового) рівня вищої освіти</w:t>
      </w:r>
    </w:p>
    <w:p w:rsidR="00F41BDF" w:rsidRPr="00F41BDF" w:rsidRDefault="00F41BDF" w:rsidP="00F41BDF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541"/>
        <w:gridCol w:w="1276"/>
        <w:gridCol w:w="1675"/>
      </w:tblGrid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Код н/д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Кількість кредитів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Форма підсумкового контролю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</w:tr>
      <w:tr w:rsidR="003414F8" w:rsidRPr="003414F8" w:rsidTr="00123052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Обов</w:t>
            </w:r>
            <w:proofErr w:type="spellEnd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язков</w:t>
            </w:r>
            <w:proofErr w:type="spellEnd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і</w:t>
            </w: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компоненти</w:t>
            </w:r>
            <w:proofErr w:type="spellEnd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 xml:space="preserve"> ОП</w:t>
            </w:r>
          </w:p>
        </w:tc>
      </w:tr>
      <w:tr w:rsidR="003414F8" w:rsidRPr="003414F8" w:rsidTr="00123052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Цикл загальної підготовки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1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uk-UA"/>
              </w:rPr>
              <w:t>Філософія науки і методологія досліджень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2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Іноземна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мова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академічних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цілей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3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Інформаційно-комунікаційні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технології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наукових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дослідженнях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4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Інтелектуальна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власність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комерціалізація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наукових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досліджень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3414F8" w:rsidRPr="003414F8" w:rsidTr="00123052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з циклу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      20</w:t>
            </w:r>
          </w:p>
        </w:tc>
      </w:tr>
      <w:tr w:rsidR="003414F8" w:rsidRPr="003414F8" w:rsidTr="00123052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Цикл професійної підготовки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5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Педагогічна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майстерність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вищій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школі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6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Педагогічна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7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Технології активних фармацевтичних інгредієнтів. Теорія явищ і процесів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ru-RU"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ОК 8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фармацевтичних</w:t>
            </w:r>
            <w:proofErr w:type="spellEnd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препаратів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3414F8" w:rsidRPr="003414F8" w:rsidTr="00123052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3414F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з циклу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      </w:t>
            </w: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16</w:t>
            </w:r>
          </w:p>
        </w:tc>
      </w:tr>
      <w:tr w:rsidR="003414F8" w:rsidRPr="003414F8" w:rsidTr="00123052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Загальний обсяг </w:t>
            </w:r>
            <w:proofErr w:type="spellStart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обов</w:t>
            </w:r>
            <w:proofErr w:type="spellEnd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язкових</w:t>
            </w:r>
            <w:proofErr w:type="spellEnd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компонентів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      36</w:t>
            </w:r>
          </w:p>
        </w:tc>
      </w:tr>
      <w:tr w:rsidR="003414F8" w:rsidRPr="003414F8" w:rsidTr="00123052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Вибірко</w:t>
            </w: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в</w:t>
            </w: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і</w:t>
            </w: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 xml:space="preserve"> </w:t>
            </w:r>
            <w:proofErr w:type="spellStart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>компоненти</w:t>
            </w:r>
            <w:proofErr w:type="spellEnd"/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val="ru-RU" w:eastAsia="ar-SA"/>
              </w:rPr>
              <w:t xml:space="preserve"> ОП</w:t>
            </w:r>
          </w:p>
        </w:tc>
      </w:tr>
      <w:tr w:rsidR="003414F8" w:rsidRPr="003414F8" w:rsidTr="0012305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Дисципліни вільного вибору студента/аспіранта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3414F8" w:rsidRPr="003414F8" w:rsidTr="00123052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 12</w:t>
            </w:r>
          </w:p>
        </w:tc>
      </w:tr>
      <w:tr w:rsidR="003414F8" w:rsidRPr="003414F8" w:rsidTr="00123052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F8" w:rsidRPr="003414F8" w:rsidRDefault="003414F8" w:rsidP="003414F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val="en-US" w:eastAsia="ar-SA"/>
              </w:rPr>
            </w:pPr>
            <w:r w:rsidRPr="003414F8">
              <w:rPr>
                <w:rFonts w:ascii="Times New Roman" w:eastAsia="SimSun" w:hAnsi="Times New Roman" w:cs="Times New Roman"/>
                <w:b/>
                <w:sz w:val="24"/>
                <w:szCs w:val="20"/>
                <w:lang w:eastAsia="ar-SA"/>
              </w:rPr>
              <w:t xml:space="preserve">       48</w:t>
            </w:r>
          </w:p>
        </w:tc>
      </w:tr>
    </w:tbl>
    <w:p w:rsidR="00F41BDF" w:rsidRPr="00F41BDF" w:rsidRDefault="00F41BDF" w:rsidP="00F41B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:rsidR="00F41BDF" w:rsidRPr="00F41BDF" w:rsidRDefault="00F41BDF" w:rsidP="00F41B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2,1.1 Зміст наукової складової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-наукової програми третього (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освітньо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t>-наукового) рівня вищої освіти</w:t>
      </w:r>
    </w:p>
    <w:p w:rsidR="00F41BDF" w:rsidRPr="00F41BDF" w:rsidRDefault="00F41BDF" w:rsidP="00F41B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F41BD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F41BD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F41BDF">
        <w:rPr>
          <w:rFonts w:ascii="Times New Roman" w:eastAsia="Calibri" w:hAnsi="Times New Roman" w:cs="Times New Roman"/>
          <w:sz w:val="28"/>
          <w:szCs w:val="28"/>
          <w:lang w:eastAsia="zh-CN"/>
        </w:rPr>
        <w:t>Апробація наукових результатів на наукових конференціях різних рівнів.</w:t>
      </w:r>
      <w:r w:rsidRPr="00F41BDF">
        <w:rPr>
          <w:rFonts w:ascii="Times New Roman" w:eastAsia="Calibri" w:hAnsi="Times New Roman" w:cs="Times New Roman"/>
          <w:color w:val="FFFFFF"/>
          <w:sz w:val="28"/>
          <w:szCs w:val="28"/>
          <w:lang w:eastAsia="zh-CN"/>
        </w:rPr>
        <w:t xml:space="preserve"> </w:t>
      </w:r>
      <w:r w:rsidRPr="00F41BD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</w:t>
      </w:r>
      <w:r w:rsidRPr="00F41BD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результатів інших авторів. Формування висновків і рекомендацій. Оформлення роботи та подання до захисту. Захист дисертації.</w:t>
      </w:r>
    </w:p>
    <w:p w:rsidR="00F41BDF" w:rsidRPr="00F41BDF" w:rsidRDefault="00F41BDF" w:rsidP="00F41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F41BDF" w:rsidRPr="00F41BDF" w:rsidRDefault="00F41BDF" w:rsidP="00F41B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До такої публікації може 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Web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of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Science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Core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Collection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та/або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Scopus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1BDF" w:rsidRPr="00F41BDF" w:rsidRDefault="00F41BDF" w:rsidP="00F41B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співавторстві).</w:t>
      </w:r>
    </w:p>
    <w:p w:rsidR="00F41BDF" w:rsidRPr="00F41BDF" w:rsidRDefault="00F41BDF" w:rsidP="00F41BDF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Наукова публікація у виданні, віднесеному до першого – третього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квартилів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(Q 1 – Q 3) відповідно до класифікації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SCImago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Journal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and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Country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Rank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Journal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Citation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Reports</w:t>
      </w:r>
      <w:proofErr w:type="spellEnd"/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, прирівнюється до двох публікацій, які зараховуються відповідно до абзацу першого цього пункту.</w:t>
      </w:r>
    </w:p>
    <w:p w:rsidR="00F41BDF" w:rsidRPr="00F41BDF" w:rsidRDefault="00F41BDF" w:rsidP="00F41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Наукові публікації зараховуються за темою дисертації з дотриманням таких умов:</w:t>
      </w:r>
    </w:p>
    <w:p w:rsidR="00F41BDF" w:rsidRPr="00F41BDF" w:rsidRDefault="00F41BDF" w:rsidP="00F41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F41BDF" w:rsidRPr="00F41BDF" w:rsidRDefault="00F41BDF" w:rsidP="00F41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F41BDF" w:rsidRPr="00F41BDF" w:rsidRDefault="00F41BDF" w:rsidP="00F41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F41BDF" w:rsidRPr="00F41BDF" w:rsidRDefault="00F41BDF" w:rsidP="00F41B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BDF">
        <w:rPr>
          <w:rFonts w:ascii="Times New Roman" w:eastAsia="Calibri" w:hAnsi="Times New Roman" w:cs="Times New Roman"/>
          <w:sz w:val="28"/>
          <w:szCs w:val="28"/>
          <w:lang w:eastAsia="ru-RU"/>
        </w:rPr>
        <w:t>опублікування не більше ніж однієї статті в одному випуску (номері) наукового видання.</w:t>
      </w:r>
    </w:p>
    <w:p w:rsidR="00F41BDF" w:rsidRPr="00F41BDF" w:rsidRDefault="00F41BDF" w:rsidP="00F41BDF">
      <w:pPr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F41BDF" w:rsidRPr="00F41BDF" w:rsidSect="00F41BD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41BDF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F41BDF" w:rsidRPr="00F41BDF" w:rsidRDefault="00F41BDF" w:rsidP="00F41B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F41BDF" w:rsidRPr="00F41BDF" w:rsidSect="00F41BDF">
          <w:pgSz w:w="16838" w:h="11906" w:orient="landscape"/>
          <w:pgMar w:top="709" w:right="850" w:bottom="850" w:left="850" w:header="708" w:footer="708" w:gutter="0"/>
          <w:cols w:space="708"/>
          <w:docGrid w:linePitch="360"/>
        </w:sectPr>
      </w:pPr>
      <w:r w:rsidRPr="00F41BDF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>
            <wp:extent cx="9540240" cy="6652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DF" w:rsidRPr="00F41BDF" w:rsidRDefault="00F41BDF" w:rsidP="00F41B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41BD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F41BDF" w:rsidRPr="00F41BDF" w:rsidTr="00F41BDF">
        <w:trPr>
          <w:trHeight w:val="151"/>
        </w:trPr>
        <w:tc>
          <w:tcPr>
            <w:tcW w:w="3374" w:type="dxa"/>
          </w:tcPr>
          <w:p w:rsidR="00F41BDF" w:rsidRPr="00F41BDF" w:rsidRDefault="00F41BDF" w:rsidP="00F41BD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F41BDF" w:rsidRPr="00F41BDF" w:rsidRDefault="00F41BDF" w:rsidP="00F41B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Атестація випускника освітньої програми проводиться у формі захисту дисертаційної роботи.</w:t>
            </w:r>
          </w:p>
        </w:tc>
      </w:tr>
      <w:tr w:rsidR="00F41BDF" w:rsidRPr="00F41BDF" w:rsidTr="00F41BDF">
        <w:trPr>
          <w:trHeight w:val="151"/>
        </w:trPr>
        <w:tc>
          <w:tcPr>
            <w:tcW w:w="3374" w:type="dxa"/>
          </w:tcPr>
          <w:p w:rsidR="00F41BDF" w:rsidRPr="00F41BDF" w:rsidRDefault="00F41BDF" w:rsidP="00F41BD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F41BDF" w:rsidRPr="00F41BDF" w:rsidRDefault="00F41BDF" w:rsidP="00F41B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 про присудження ступеня доктора філософії</w:t>
            </w:r>
            <w:r w:rsidRPr="00F41BDF">
              <w:rPr>
                <w:rFonts w:ascii="Calibri" w:eastAsia="Calibri" w:hAnsi="Calibri" w:cs="Times New Roman"/>
              </w:rPr>
              <w:t xml:space="preserve">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із присвоєнням кваліфікації: доктор філософії</w:t>
            </w:r>
            <w:r w:rsidRPr="00F41BDF">
              <w:rPr>
                <w:rFonts w:ascii="Times New Roman" w:eastAsia="Calibri" w:hAnsi="Times New Roman" w:cs="Times New Roman"/>
              </w:rPr>
              <w:t xml:space="preserve"> з </w:t>
            </w:r>
            <w:r w:rsidRPr="00F41B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фармації,  промислової фармації.</w:t>
            </w:r>
          </w:p>
        </w:tc>
      </w:tr>
    </w:tbl>
    <w:p w:rsidR="00F41BDF" w:rsidRDefault="00F41BDF" w:rsidP="003414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14F8" w:rsidRPr="003414F8" w:rsidRDefault="003414F8" w:rsidP="003414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414F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4. Матриця відповідності програмних </w:t>
      </w:r>
      <w:proofErr w:type="spellStart"/>
      <w:r w:rsidRPr="003414F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компетентностей</w:t>
      </w:r>
      <w:proofErr w:type="spellEnd"/>
      <w:r w:rsidRPr="003414F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компонентам освітньої програми </w:t>
      </w:r>
    </w:p>
    <w:tbl>
      <w:tblPr>
        <w:tblStyle w:val="6"/>
        <w:tblW w:w="9629" w:type="dxa"/>
        <w:jc w:val="center"/>
        <w:tblLook w:val="04A0" w:firstRow="1" w:lastRow="0" w:firstColumn="1" w:lastColumn="0" w:noHBand="0" w:noVBand="1"/>
      </w:tblPr>
      <w:tblGrid>
        <w:gridCol w:w="830"/>
        <w:gridCol w:w="541"/>
        <w:gridCol w:w="577"/>
        <w:gridCol w:w="577"/>
        <w:gridCol w:w="577"/>
        <w:gridCol w:w="576"/>
        <w:gridCol w:w="575"/>
        <w:gridCol w:w="554"/>
        <w:gridCol w:w="582"/>
        <w:gridCol w:w="583"/>
        <w:gridCol w:w="583"/>
        <w:gridCol w:w="583"/>
        <w:gridCol w:w="583"/>
        <w:gridCol w:w="583"/>
        <w:gridCol w:w="583"/>
        <w:gridCol w:w="742"/>
      </w:tblGrid>
      <w:tr w:rsidR="003414F8" w:rsidRPr="003414F8" w:rsidTr="00123052">
        <w:trPr>
          <w:cantSplit/>
          <w:trHeight w:val="860"/>
          <w:jc w:val="center"/>
        </w:trPr>
        <w:tc>
          <w:tcPr>
            <w:tcW w:w="830" w:type="dxa"/>
            <w:textDirection w:val="btLr"/>
          </w:tcPr>
          <w:p w:rsidR="003414F8" w:rsidRPr="003414F8" w:rsidRDefault="003414F8" w:rsidP="003414F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</w:t>
            </w:r>
          </w:p>
        </w:tc>
        <w:tc>
          <w:tcPr>
            <w:tcW w:w="577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2</w:t>
            </w:r>
          </w:p>
        </w:tc>
        <w:tc>
          <w:tcPr>
            <w:tcW w:w="577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3</w:t>
            </w:r>
          </w:p>
        </w:tc>
        <w:tc>
          <w:tcPr>
            <w:tcW w:w="577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4</w:t>
            </w:r>
          </w:p>
        </w:tc>
        <w:tc>
          <w:tcPr>
            <w:tcW w:w="576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5</w:t>
            </w:r>
          </w:p>
        </w:tc>
        <w:tc>
          <w:tcPr>
            <w:tcW w:w="575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ЗК 6 </w:t>
            </w:r>
          </w:p>
        </w:tc>
        <w:tc>
          <w:tcPr>
            <w:tcW w:w="554" w:type="dxa"/>
            <w:textDirection w:val="btLr"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7</w:t>
            </w:r>
          </w:p>
        </w:tc>
        <w:tc>
          <w:tcPr>
            <w:tcW w:w="582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</w:t>
            </w:r>
          </w:p>
        </w:tc>
        <w:tc>
          <w:tcPr>
            <w:tcW w:w="583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2</w:t>
            </w:r>
          </w:p>
        </w:tc>
        <w:tc>
          <w:tcPr>
            <w:tcW w:w="583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3</w:t>
            </w:r>
          </w:p>
        </w:tc>
        <w:tc>
          <w:tcPr>
            <w:tcW w:w="583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4</w:t>
            </w:r>
          </w:p>
        </w:tc>
        <w:tc>
          <w:tcPr>
            <w:tcW w:w="583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5</w:t>
            </w:r>
          </w:p>
        </w:tc>
        <w:tc>
          <w:tcPr>
            <w:tcW w:w="583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6</w:t>
            </w:r>
          </w:p>
        </w:tc>
        <w:tc>
          <w:tcPr>
            <w:tcW w:w="583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7</w:t>
            </w:r>
          </w:p>
        </w:tc>
        <w:tc>
          <w:tcPr>
            <w:tcW w:w="742" w:type="dxa"/>
            <w:noWrap/>
            <w:textDirection w:val="btLr"/>
            <w:tcFitText/>
          </w:tcPr>
          <w:p w:rsidR="003414F8" w:rsidRPr="003414F8" w:rsidRDefault="003414F8" w:rsidP="003414F8">
            <w:pPr>
              <w:suppressAutoHyphens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8</w:t>
            </w: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54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54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54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54" w:type="dxa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54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54" w:type="dxa"/>
            <w:vAlign w:val="center"/>
          </w:tcPr>
          <w:p w:rsidR="003414F8" w:rsidRPr="003414F8" w:rsidRDefault="003414F8" w:rsidP="003414F8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 w:rsidRPr="003414F8">
              <w:rPr>
                <w:rFonts w:ascii="Times New Roman" w:hAnsi="Times New Roman"/>
                <w:b/>
                <w:lang w:eastAsia="ar-SA"/>
              </w:rPr>
              <w:t>*</w:t>
            </w: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4" w:type="dxa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414F8" w:rsidRPr="003414F8" w:rsidTr="00123052">
        <w:trPr>
          <w:trHeight w:val="567"/>
          <w:jc w:val="center"/>
        </w:trPr>
        <w:tc>
          <w:tcPr>
            <w:tcW w:w="830" w:type="dxa"/>
            <w:vAlign w:val="center"/>
          </w:tcPr>
          <w:p w:rsidR="003414F8" w:rsidRPr="003414F8" w:rsidRDefault="003414F8" w:rsidP="003414F8">
            <w:pPr>
              <w:suppressAutoHyphens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541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76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3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2" w:type="dxa"/>
            <w:vAlign w:val="center"/>
          </w:tcPr>
          <w:p w:rsidR="003414F8" w:rsidRPr="003414F8" w:rsidRDefault="003414F8" w:rsidP="0034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4F8" w:rsidRPr="003414F8" w:rsidRDefault="003414F8" w:rsidP="00341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4F8" w:rsidRPr="003414F8" w:rsidRDefault="003414F8" w:rsidP="00341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4F8">
        <w:rPr>
          <w:rFonts w:ascii="Times New Roman" w:eastAsia="Times New Roman" w:hAnsi="Times New Roman" w:cs="Times New Roman"/>
          <w:b/>
          <w:sz w:val="28"/>
          <w:szCs w:val="28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3414F8" w:rsidRPr="003414F8" w:rsidTr="00123052">
        <w:trPr>
          <w:trHeight w:val="955"/>
        </w:trPr>
        <w:tc>
          <w:tcPr>
            <w:tcW w:w="1069" w:type="dxa"/>
          </w:tcPr>
          <w:p w:rsidR="003414F8" w:rsidRPr="003414F8" w:rsidRDefault="003414F8" w:rsidP="003414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3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4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5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6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ПРН7</w:t>
            </w:r>
          </w:p>
        </w:tc>
        <w:tc>
          <w:tcPr>
            <w:tcW w:w="1070" w:type="dxa"/>
            <w:textDirection w:val="btL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8</w:t>
            </w: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</w:tr>
      <w:tr w:rsidR="003414F8" w:rsidRPr="003414F8" w:rsidTr="00123052">
        <w:tc>
          <w:tcPr>
            <w:tcW w:w="1069" w:type="dxa"/>
            <w:vAlign w:val="center"/>
          </w:tcPr>
          <w:p w:rsidR="003414F8" w:rsidRPr="003414F8" w:rsidRDefault="003414F8" w:rsidP="003414F8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14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  <w:tc>
          <w:tcPr>
            <w:tcW w:w="1070" w:type="dxa"/>
            <w:vAlign w:val="center"/>
          </w:tcPr>
          <w:p w:rsidR="003414F8" w:rsidRPr="003414F8" w:rsidRDefault="003414F8" w:rsidP="003414F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414F8">
              <w:rPr>
                <w:sz w:val="24"/>
                <w:szCs w:val="24"/>
              </w:rPr>
              <w:t>*</w:t>
            </w:r>
          </w:p>
        </w:tc>
      </w:tr>
    </w:tbl>
    <w:p w:rsidR="003414F8" w:rsidRPr="00F41BDF" w:rsidRDefault="003414F8" w:rsidP="003414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3414F8" w:rsidRPr="00F41BDF" w:rsidSect="00341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DF"/>
    <w:rsid w:val="003414F8"/>
    <w:rsid w:val="00ED53D0"/>
    <w:rsid w:val="00F41BDF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92AF-919C-4AE8-8A80-0AC9DD7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41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nutd.edu.ua/ek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2</cp:revision>
  <dcterms:created xsi:type="dcterms:W3CDTF">2021-04-21T11:21:00Z</dcterms:created>
  <dcterms:modified xsi:type="dcterms:W3CDTF">2021-04-21T11:21:00Z</dcterms:modified>
</cp:coreProperties>
</file>