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64E4" w:rsidRPr="008C64E4" w:rsidRDefault="008C64E4" w:rsidP="0034709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bookmarkEnd w:id="0"/>
      <w:r w:rsidRPr="008C64E4">
        <w:rPr>
          <w:rFonts w:ascii="Times New Roman" w:hAnsi="Times New Roman" w:cs="Times New Roman"/>
          <w:sz w:val="28"/>
          <w:szCs w:val="28"/>
          <w:lang w:val="uk-UA"/>
        </w:rPr>
        <w:t xml:space="preserve">Щоденник викладання курсу </w:t>
      </w:r>
    </w:p>
    <w:p w:rsidR="008C64E4" w:rsidRDefault="008C64E4" w:rsidP="0034709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uk-UA" w:eastAsia="uk-UA"/>
        </w:rPr>
      </w:pPr>
      <w:r w:rsidRPr="008C64E4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8C64E4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uk-UA" w:eastAsia="uk-UA"/>
        </w:rPr>
        <w:t>Фінансова стабільність:</w:t>
      </w:r>
    </w:p>
    <w:p w:rsidR="008C64E4" w:rsidRPr="008C64E4" w:rsidRDefault="008C64E4" w:rsidP="0034709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8C64E4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uk-UA" w:eastAsia="uk-UA"/>
        </w:rPr>
        <w:t xml:space="preserve"> глобальний, європейський і національний контексти</w:t>
      </w:r>
      <w:r w:rsidRPr="008C64E4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3D1617" w:rsidRDefault="003D1617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23D1A" w:rsidRDefault="00523D1A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09.03.2021 р.</w:t>
      </w: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1. Регулювання фінансового сектору. </w:t>
      </w:r>
    </w:p>
    <w:p w:rsidR="008C64E4" w:rsidRDefault="003D1617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ознайомлені з цілями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політики регулювання фінансового сектору</w:t>
      </w:r>
      <w:r>
        <w:rPr>
          <w:rFonts w:ascii="Times New Roman" w:hAnsi="Times New Roman" w:cs="Times New Roman"/>
          <w:sz w:val="28"/>
          <w:szCs w:val="28"/>
          <w:lang w:val="uk-UA"/>
        </w:rPr>
        <w:t>, м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одел</w:t>
      </w:r>
      <w:r>
        <w:rPr>
          <w:rFonts w:ascii="Times New Roman" w:hAnsi="Times New Roman" w:cs="Times New Roman"/>
          <w:sz w:val="28"/>
          <w:szCs w:val="28"/>
          <w:lang w:val="uk-UA"/>
        </w:rPr>
        <w:t>ями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регулювання фінансового сектору</w:t>
      </w:r>
      <w:r>
        <w:rPr>
          <w:rFonts w:ascii="Times New Roman" w:hAnsi="Times New Roman" w:cs="Times New Roman"/>
          <w:sz w:val="28"/>
          <w:szCs w:val="28"/>
          <w:lang w:val="uk-UA"/>
        </w:rPr>
        <w:t>. Розглянуто є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вропейські та міжнародні стандарти регулювання фінансового сектору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C64E4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Практичне заняття 1. Регулювання фінансового сектору</w:t>
      </w:r>
      <w:r w:rsidRPr="008C64E4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 ході практичного заняття було обговорено питання: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Соціально-економічне значення і необхідність регулювання фінансового сектору.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2.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Мета, завдання, функції, предмет і об’єкт регулювання фінансового сектору.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3.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Основні напрями розвитку і удосконалення регулювання фінансового сектору.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4.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Основні моделі регулювання фінансового сектору, їх характеристика.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5.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Діяльність міжнародних організацій у сфері регулювання фінансового сектору.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6.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Основні міжнародні стандарти регулювання фінансового сектору, їх удосконалення.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7.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Становлення нормативно-правового забезпечення регулювання фінансового сектору в Україні.</w:t>
      </w:r>
    </w:p>
    <w:p w:rsid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8.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Вітчизняні нормативно-правові засади регулювання фінансового сектору та їх удосконалення.</w:t>
      </w:r>
    </w:p>
    <w:p w:rsidR="004E132E" w:rsidRDefault="004E132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Роль фінансового сектору у забезпеченні економічного розвитку країни: досвід України та країн ЄС.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2.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Домогосподарства як ключові гравці у фінансовому секторі та їх вплив на фінансову стабільність.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3.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Вплив нефінансових корпорацій на фінансову стабільність.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4.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Політика захисту прав споживачів фінансових послуг та її місце у фінансовому регулюванні і нагляді.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5.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 xml:space="preserve">Діяльність </w:t>
      </w:r>
      <w:proofErr w:type="spellStart"/>
      <w:r w:rsidRPr="00F841AF">
        <w:rPr>
          <w:rFonts w:ascii="Times New Roman" w:hAnsi="Times New Roman" w:cs="Times New Roman"/>
          <w:sz w:val="28"/>
          <w:szCs w:val="28"/>
          <w:lang w:val="uk-UA"/>
        </w:rPr>
        <w:t>саморегулівних</w:t>
      </w:r>
      <w:proofErr w:type="spellEnd"/>
      <w:r w:rsidRPr="00F841AF">
        <w:rPr>
          <w:rFonts w:ascii="Times New Roman" w:hAnsi="Times New Roman" w:cs="Times New Roman"/>
          <w:sz w:val="28"/>
          <w:szCs w:val="28"/>
          <w:lang w:val="uk-UA"/>
        </w:rPr>
        <w:t xml:space="preserve"> організацій в фінансовому секторі: порівняння досвіду України та країн ЄС.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6.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Розвиток міжнародних та вітчизняних стандартів фінансового регулювання: причини та наслідки.</w:t>
      </w:r>
    </w:p>
    <w:p w:rsid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7.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Впровадження світового досвіду фінансового регулювання і нагляду у вітчизняну практику.</w:t>
      </w:r>
    </w:p>
    <w:p w:rsidR="00770B74" w:rsidRDefault="00770B74" w:rsidP="00770B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C7BAADE" wp14:editId="6D1CA86F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B74" w:rsidRDefault="00770B74" w:rsidP="00770B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C64E4" w:rsidRDefault="00FF34EE" w:rsidP="00FF34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BA15AD">
            <wp:extent cx="6152328" cy="3419475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108" cy="3424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64E4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841AF" w:rsidRDefault="00FF34EE" w:rsidP="00FF34E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F34E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D8E9BC1" wp14:editId="2709EEFA">
            <wp:extent cx="5940425" cy="4009128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9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4EE" w:rsidRDefault="00FF34EE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F34E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F56B442" wp14:editId="67E501C3">
            <wp:extent cx="5940425" cy="394843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F841AF" w:rsidRDefault="004E132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16.03.2021 р., 23.03.2021 р.</w:t>
      </w:r>
    </w:p>
    <w:p w:rsidR="008C64E4" w:rsidRPr="003D1617" w:rsidRDefault="008C64E4" w:rsidP="0034709E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2. Моделі фінансового нагляду. </w:t>
      </w:r>
    </w:p>
    <w:p w:rsidR="008C64E4" w:rsidRDefault="003D1617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 рамках вивчення теми розглянуто і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снуючі моделі побудови інституційної структури фінансового нагляду: секторна, двох вершин, єдиного нагляду</w:t>
      </w:r>
      <w:r>
        <w:rPr>
          <w:rFonts w:ascii="Times New Roman" w:hAnsi="Times New Roman" w:cs="Times New Roman"/>
          <w:sz w:val="28"/>
          <w:szCs w:val="28"/>
          <w:lang w:val="uk-UA"/>
        </w:rPr>
        <w:t>; і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нституційний підхід до регулювання і нагляду за фінансовим сектором</w:t>
      </w:r>
      <w:r>
        <w:rPr>
          <w:rFonts w:ascii="Times New Roman" w:hAnsi="Times New Roman" w:cs="Times New Roman"/>
          <w:sz w:val="28"/>
          <w:szCs w:val="28"/>
          <w:lang w:val="uk-UA"/>
        </w:rPr>
        <w:t>; н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езалежність органів фінансового регулювання і нагляду</w:t>
      </w:r>
      <w:r>
        <w:rPr>
          <w:rFonts w:ascii="Times New Roman" w:hAnsi="Times New Roman" w:cs="Times New Roman"/>
          <w:sz w:val="28"/>
          <w:szCs w:val="28"/>
          <w:lang w:val="uk-UA"/>
        </w:rPr>
        <w:t>; п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ідзвітність і прозорість діяльності органів фінансового регулювання і нагляду</w:t>
      </w:r>
      <w:r w:rsidR="00BF4B8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F4B88" w:rsidRDefault="00BF4B88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C64E4" w:rsidRDefault="008C64E4" w:rsidP="0034709E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Практичне заняття 2. Моделі фінансового нагляду.</w:t>
      </w:r>
    </w:p>
    <w:p w:rsidR="00F841AF" w:rsidRDefault="00F841AF" w:rsidP="0034709E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 xml:space="preserve">Практичне заняття було присвячено </w:t>
      </w:r>
      <w:r w:rsidRPr="00F841AF">
        <w:rPr>
          <w:rFonts w:ascii="Times New Roman" w:hAnsi="Times New Roman" w:cs="Times New Roman"/>
          <w:sz w:val="28"/>
          <w:szCs w:val="28"/>
          <w:lang w:val="uk-UA" w:eastAsia="ru-RU"/>
        </w:rPr>
        <w:t>засвоєнн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ю</w:t>
      </w:r>
      <w:r w:rsidRPr="00F841A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та поглибленн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ю</w:t>
      </w:r>
      <w:r w:rsidRPr="00F841A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теоретичних знань про інституційну структуру  та основні моделі організації фінансового регулювання нагляду, інституційну структуру фінансового нагляду в країнах світу, Європи та і Україні, міжнародні стандарти забезпечення незалежності, прозорості та підзвітності </w:t>
      </w:r>
      <w:proofErr w:type="spellStart"/>
      <w:r w:rsidRPr="00F841AF">
        <w:rPr>
          <w:rFonts w:ascii="Times New Roman" w:hAnsi="Times New Roman" w:cs="Times New Roman"/>
          <w:sz w:val="28"/>
          <w:szCs w:val="28"/>
          <w:lang w:val="uk-UA" w:eastAsia="ru-RU"/>
        </w:rPr>
        <w:t>регуляторно</w:t>
      </w:r>
      <w:proofErr w:type="spellEnd"/>
      <w:r w:rsidRPr="00F841AF">
        <w:rPr>
          <w:rFonts w:ascii="Times New Roman" w:hAnsi="Times New Roman" w:cs="Times New Roman"/>
          <w:sz w:val="28"/>
          <w:szCs w:val="28"/>
          <w:lang w:val="uk-UA" w:eastAsia="ru-RU"/>
        </w:rPr>
        <w:t>-наглядових органів, набути практичних навичок щодо проведення аналізу доцільності впровадження і ефективності моделей організації фінансового регулювання і нагляду у різних країнах, оцінювання відповідності незалежності, підзвітності і прозорості вітчизняних органів фінансового нагляду найкращим світовим і європейським практикам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</w:p>
    <w:p w:rsidR="00F841AF" w:rsidRDefault="00F841AF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>Роль фінансового сектору у забезпеченні економічного розвитку країни: досвід України та країн ЄС.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>Домогосподарства як ключові гравці у фінансовому секторі та їх вплив на фінансову стабільність.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>Вплив нефінансових корпорацій на фінансову стабільність.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>Політика захисту прав споживачів фінансових послуг та її місце у фінансовому регулюванні і нагляді.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 xml:space="preserve">Діяльність </w:t>
      </w:r>
      <w:proofErr w:type="spellStart"/>
      <w:r w:rsidRPr="005C2F5B">
        <w:rPr>
          <w:bCs/>
          <w:sz w:val="28"/>
          <w:szCs w:val="28"/>
          <w:lang w:val="uk-UA"/>
        </w:rPr>
        <w:t>саморегулівних</w:t>
      </w:r>
      <w:proofErr w:type="spellEnd"/>
      <w:r w:rsidRPr="005C2F5B">
        <w:rPr>
          <w:bCs/>
          <w:sz w:val="28"/>
          <w:szCs w:val="28"/>
          <w:lang w:val="uk-UA"/>
        </w:rPr>
        <w:t xml:space="preserve"> організацій в фінансовому секторі: порівняння досвіду України та країн ЄС.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>Розвиток міжнародних та вітчизняних стандартів фінансового регулювання: причини та наслідки.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>Впровадження світового досвіду фінансового регулювання і нагляду у вітчизняну практику.</w:t>
      </w:r>
    </w:p>
    <w:p w:rsidR="00F841AF" w:rsidRDefault="00F841AF" w:rsidP="0034709E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41AF" w:rsidRPr="00F841AF" w:rsidRDefault="00FF34EE" w:rsidP="00FF34EE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5EA5A85" wp14:editId="1939BF71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1AF" w:rsidRPr="003D1617" w:rsidRDefault="00A32884" w:rsidP="00FF34EE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1EFF20E" wp14:editId="0F071454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884" w:rsidRDefault="00A32884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F78C653" wp14:editId="675D307F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4EE" w:rsidRDefault="00A32884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8454EDB" wp14:editId="77F30459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34EE"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4E132E" w:rsidRDefault="004E132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30.03.2021 р.</w:t>
      </w: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3. Архітектура фінансового регулювання і фінансового нагляду. </w:t>
      </w:r>
    </w:p>
    <w:p w:rsidR="008C64E4" w:rsidRDefault="003D1617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Обговорено р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оль центрального банку у системі фінансового регулювання і нагляду</w:t>
      </w:r>
      <w:r>
        <w:rPr>
          <w:rFonts w:ascii="Times New Roman" w:hAnsi="Times New Roman" w:cs="Times New Roman"/>
          <w:sz w:val="28"/>
          <w:szCs w:val="28"/>
          <w:lang w:val="uk-UA"/>
        </w:rPr>
        <w:t>; д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освід використання різних моделей фінансового регулювання і нагляду у європейських країнах</w:t>
      </w:r>
      <w:r>
        <w:rPr>
          <w:rFonts w:ascii="Times New Roman" w:hAnsi="Times New Roman" w:cs="Times New Roman"/>
          <w:sz w:val="28"/>
          <w:szCs w:val="28"/>
          <w:lang w:val="uk-UA"/>
        </w:rPr>
        <w:t>. Проаналізовано а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даптаці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фінансового регулювання і фінансового нагляду в Україні до європейських та глобальних стандартів</w:t>
      </w:r>
      <w:r>
        <w:rPr>
          <w:rFonts w:ascii="Times New Roman" w:hAnsi="Times New Roman" w:cs="Times New Roman"/>
          <w:sz w:val="28"/>
          <w:szCs w:val="28"/>
          <w:lang w:val="uk-UA"/>
        </w:rPr>
        <w:t>; в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нутрішн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координація між органами фінансового регулювання і нагляду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Крос-кордонн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співпрац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між органами фінансового регулювання і нагляду.</w:t>
      </w:r>
    </w:p>
    <w:p w:rsidR="00BF4B88" w:rsidRDefault="00BF4B88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C64E4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Практичне заняття 3. Архітектура фінансового регулювання і фінансового нагляду.</w:t>
      </w:r>
    </w:p>
    <w:p w:rsidR="008C64E4" w:rsidRDefault="005B23E3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B23E3">
        <w:rPr>
          <w:rFonts w:ascii="Times New Roman" w:hAnsi="Times New Roman" w:cs="Times New Roman"/>
          <w:sz w:val="28"/>
          <w:szCs w:val="28"/>
          <w:lang w:val="uk-UA"/>
        </w:rPr>
        <w:t>Практичне заняття було присвячено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5B23E3">
        <w:rPr>
          <w:rFonts w:ascii="Times New Roman" w:hAnsi="Times New Roman" w:cs="Times New Roman"/>
          <w:sz w:val="28"/>
          <w:szCs w:val="28"/>
          <w:lang w:val="uk-UA"/>
        </w:rPr>
        <w:t>засвоєнн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 та поглибленн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 теоретичних знань про національну, міжнародну та глобальну архітектуру фінансового регулювання та нагляду, місце центрального банку в організації побудови </w:t>
      </w:r>
      <w:proofErr w:type="spellStart"/>
      <w:r w:rsidRPr="005B23E3">
        <w:rPr>
          <w:rFonts w:ascii="Times New Roman" w:hAnsi="Times New Roman" w:cs="Times New Roman"/>
          <w:sz w:val="28"/>
          <w:szCs w:val="28"/>
          <w:lang w:val="uk-UA"/>
        </w:rPr>
        <w:t>регуляторно</w:t>
      </w:r>
      <w:proofErr w:type="spellEnd"/>
      <w:r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-наглядових систем, глобальний та міжнародний досвід створення </w:t>
      </w:r>
      <w:proofErr w:type="spellStart"/>
      <w:r w:rsidRPr="005B23E3">
        <w:rPr>
          <w:rFonts w:ascii="Times New Roman" w:hAnsi="Times New Roman" w:cs="Times New Roman"/>
          <w:sz w:val="28"/>
          <w:szCs w:val="28"/>
          <w:lang w:val="uk-UA"/>
        </w:rPr>
        <w:t>мегарегулятора</w:t>
      </w:r>
      <w:proofErr w:type="spellEnd"/>
      <w:r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 фінансового сектору, адаптацію фінансового регулювання і фінансового нагляду в Україні до європейських, міжнародних та глобальних стандартів, внутрішню та зовнішню співпрацю органів фінансового регулювання та нагляд, набути практичних навичок проведення аналізу відповідності </w:t>
      </w:r>
      <w:proofErr w:type="spellStart"/>
      <w:r w:rsidRPr="005B23E3">
        <w:rPr>
          <w:rFonts w:ascii="Times New Roman" w:hAnsi="Times New Roman" w:cs="Times New Roman"/>
          <w:sz w:val="28"/>
          <w:szCs w:val="28"/>
          <w:lang w:val="uk-UA"/>
        </w:rPr>
        <w:t>регуляторно</w:t>
      </w:r>
      <w:proofErr w:type="spellEnd"/>
      <w:r w:rsidRPr="005B23E3">
        <w:rPr>
          <w:rFonts w:ascii="Times New Roman" w:hAnsi="Times New Roman" w:cs="Times New Roman"/>
          <w:sz w:val="28"/>
          <w:szCs w:val="28"/>
          <w:lang w:val="uk-UA"/>
        </w:rPr>
        <w:t>-наглядової практики міжнародних стандартам, взаємодії між органами фінансового регулювання і нагляду, швидкості і продуктивності виконання Угоди про асоціацію в частині фінансового регулювання і нагляду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B23E3" w:rsidRDefault="005B23E3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A32884" w:rsidRPr="00A32884" w:rsidRDefault="00A32884" w:rsidP="00A32884">
      <w:pPr>
        <w:pStyle w:val="a3"/>
        <w:numPr>
          <w:ilvl w:val="0"/>
          <w:numId w:val="7"/>
        </w:numPr>
        <w:ind w:left="0" w:firstLine="709"/>
        <w:jc w:val="both"/>
        <w:rPr>
          <w:sz w:val="28"/>
          <w:szCs w:val="28"/>
          <w:lang w:val="uk-UA"/>
        </w:rPr>
      </w:pPr>
      <w:r w:rsidRPr="00A32884">
        <w:rPr>
          <w:sz w:val="28"/>
          <w:szCs w:val="28"/>
          <w:lang w:val="uk-UA"/>
        </w:rPr>
        <w:t>Структура фінансового сектору та її вплив на його ефективність.</w:t>
      </w:r>
    </w:p>
    <w:p w:rsidR="005B23E3" w:rsidRPr="00A32884" w:rsidRDefault="005B23E3" w:rsidP="00A32884">
      <w:pPr>
        <w:pStyle w:val="a3"/>
        <w:numPr>
          <w:ilvl w:val="0"/>
          <w:numId w:val="7"/>
        </w:numPr>
        <w:ind w:left="0" w:firstLine="709"/>
        <w:jc w:val="both"/>
        <w:rPr>
          <w:sz w:val="28"/>
          <w:szCs w:val="28"/>
          <w:lang w:val="uk-UA"/>
        </w:rPr>
      </w:pPr>
      <w:r w:rsidRPr="00A32884">
        <w:rPr>
          <w:sz w:val="28"/>
          <w:szCs w:val="28"/>
          <w:lang w:val="uk-UA"/>
        </w:rPr>
        <w:t>Адаптація фінансового регулювання і фінансового нагляду в Україні до європейських та глобальних стандартів: проблеми і перспективи.</w:t>
      </w:r>
    </w:p>
    <w:p w:rsidR="005B23E3" w:rsidRPr="00A32884" w:rsidRDefault="005B23E3" w:rsidP="00A32884">
      <w:pPr>
        <w:pStyle w:val="a3"/>
        <w:numPr>
          <w:ilvl w:val="0"/>
          <w:numId w:val="7"/>
        </w:numPr>
        <w:ind w:left="0" w:firstLine="709"/>
        <w:jc w:val="both"/>
        <w:rPr>
          <w:sz w:val="28"/>
          <w:szCs w:val="28"/>
          <w:lang w:val="uk-UA"/>
        </w:rPr>
      </w:pPr>
      <w:r w:rsidRPr="00A32884">
        <w:rPr>
          <w:sz w:val="28"/>
          <w:szCs w:val="28"/>
          <w:lang w:val="uk-UA"/>
        </w:rPr>
        <w:t xml:space="preserve">Моделі взаємодії </w:t>
      </w:r>
      <w:proofErr w:type="spellStart"/>
      <w:r w:rsidRPr="00A32884">
        <w:rPr>
          <w:sz w:val="28"/>
          <w:szCs w:val="28"/>
          <w:lang w:val="uk-UA"/>
        </w:rPr>
        <w:t>мегарегулятора</w:t>
      </w:r>
      <w:proofErr w:type="spellEnd"/>
      <w:r w:rsidRPr="00A32884">
        <w:rPr>
          <w:sz w:val="28"/>
          <w:szCs w:val="28"/>
          <w:lang w:val="uk-UA"/>
        </w:rPr>
        <w:t xml:space="preserve"> фінансового ринку з центральними банками.</w:t>
      </w:r>
    </w:p>
    <w:p w:rsidR="005B23E3" w:rsidRPr="00A32884" w:rsidRDefault="005B23E3" w:rsidP="00A32884">
      <w:pPr>
        <w:pStyle w:val="a3"/>
        <w:numPr>
          <w:ilvl w:val="0"/>
          <w:numId w:val="7"/>
        </w:numPr>
        <w:ind w:left="0" w:firstLine="709"/>
        <w:jc w:val="both"/>
        <w:rPr>
          <w:sz w:val="28"/>
          <w:szCs w:val="28"/>
          <w:lang w:val="uk-UA"/>
        </w:rPr>
      </w:pPr>
      <w:r w:rsidRPr="00A32884">
        <w:rPr>
          <w:sz w:val="28"/>
          <w:szCs w:val="28"/>
          <w:lang w:val="uk-UA"/>
        </w:rPr>
        <w:t xml:space="preserve">Діяльність </w:t>
      </w:r>
      <w:proofErr w:type="spellStart"/>
      <w:r w:rsidRPr="00A32884">
        <w:rPr>
          <w:sz w:val="28"/>
          <w:szCs w:val="28"/>
          <w:lang w:val="uk-UA"/>
        </w:rPr>
        <w:t>регуляторно</w:t>
      </w:r>
      <w:proofErr w:type="spellEnd"/>
      <w:r w:rsidRPr="00A32884">
        <w:rPr>
          <w:sz w:val="28"/>
          <w:szCs w:val="28"/>
          <w:lang w:val="uk-UA"/>
        </w:rPr>
        <w:t>-наглядових органів, парламенту та уряду України у сфері імплементації Угоди про асоціацію в частині фінансового регулювання та нагляду.</w:t>
      </w:r>
    </w:p>
    <w:p w:rsidR="005B23E3" w:rsidRPr="00A32884" w:rsidRDefault="005B23E3" w:rsidP="00A32884">
      <w:pPr>
        <w:pStyle w:val="a3"/>
        <w:numPr>
          <w:ilvl w:val="0"/>
          <w:numId w:val="7"/>
        </w:numPr>
        <w:ind w:left="0" w:firstLine="709"/>
        <w:jc w:val="both"/>
        <w:rPr>
          <w:sz w:val="28"/>
          <w:szCs w:val="28"/>
          <w:lang w:val="uk-UA"/>
        </w:rPr>
      </w:pPr>
      <w:r w:rsidRPr="00A32884">
        <w:rPr>
          <w:sz w:val="28"/>
          <w:szCs w:val="28"/>
          <w:lang w:val="uk-UA"/>
        </w:rPr>
        <w:t>Взаємодія між органами фінансового регулювання і нагляду на міжнародному і глобальному рівні.</w:t>
      </w:r>
    </w:p>
    <w:p w:rsidR="005B23E3" w:rsidRDefault="005B23E3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B23E3" w:rsidRDefault="00A32884" w:rsidP="00A328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C585B02" wp14:editId="06A57A43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B88" w:rsidRDefault="00A32884" w:rsidP="00A328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656D0F4" wp14:editId="3184B88C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B74" w:rsidRDefault="00770B74" w:rsidP="0034709E">
      <w:pPr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70B74" w:rsidRDefault="00770B74" w:rsidP="00770B74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8D514A0" wp14:editId="1A4517EB">
            <wp:extent cx="5943600" cy="29813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B74" w:rsidRDefault="00770B74" w:rsidP="00770B74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08FB52D" wp14:editId="312329FE">
            <wp:extent cx="5943600" cy="28765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3E3" w:rsidRDefault="00770B74" w:rsidP="00770B74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B71DF30" wp14:editId="5C767A67">
            <wp:extent cx="5943600" cy="3181312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9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1956">
        <w:rPr>
          <w:noProof/>
          <w:lang w:eastAsia="ru-RU"/>
        </w:rPr>
        <w:drawing>
          <wp:inline distT="0" distB="0" distL="0" distR="0" wp14:anchorId="6EA13047" wp14:editId="38C60D7A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23E3"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4E132E" w:rsidRDefault="004E132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06.04.2021 р., 13.04.2021 р</w:t>
      </w: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4. Макропруденційна політика. </w:t>
      </w:r>
    </w:p>
    <w:p w:rsidR="003D1617" w:rsidRPr="003D1617" w:rsidRDefault="003D1617" w:rsidP="0034709E">
      <w:pPr>
        <w:spacing w:after="0" w:line="240" w:lineRule="auto"/>
        <w:ind w:right="20"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bookmarkStart w:id="1" w:name="_Hlk66103472"/>
      <w:r w:rsidRPr="003D1617">
        <w:rPr>
          <w:rFonts w:ascii="Times New Roman" w:hAnsi="Times New Roman" w:cs="Times New Roman"/>
          <w:sz w:val="28"/>
          <w:szCs w:val="28"/>
          <w:lang w:val="uk-UA"/>
        </w:rPr>
        <w:t>Макропруденційна політика як сучасна концепція фінансового регулювання і нагляду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Структура макропруденційної політики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Фінансова стабільність як мета макропруденційної політики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Вибір інструментів макропруденційної політики</w:t>
      </w:r>
      <w:r w:rsidRPr="003D1617">
        <w:rPr>
          <w:rFonts w:ascii="Times New Roman" w:hAnsi="Times New Roman" w:cs="Times New Roman"/>
          <w:bCs/>
          <w:sz w:val="28"/>
          <w:szCs w:val="28"/>
          <w:lang w:val="uk-UA"/>
        </w:rPr>
        <w:t>. Моделі інституційної організації макропруденційної політики в європейських країнах</w:t>
      </w:r>
    </w:p>
    <w:bookmarkEnd w:id="1"/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64E4" w:rsidRDefault="003D1617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</w:t>
      </w:r>
      <w:r w:rsidR="008C64E4" w:rsidRPr="003D1617">
        <w:rPr>
          <w:rFonts w:ascii="Times New Roman" w:hAnsi="Times New Roman" w:cs="Times New Roman"/>
          <w:b/>
          <w:sz w:val="28"/>
          <w:szCs w:val="28"/>
          <w:lang w:val="uk-UA"/>
        </w:rPr>
        <w:t>не заняття 4. Макропруденційна політика.</w:t>
      </w:r>
    </w:p>
    <w:p w:rsidR="005B23E3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B23E3">
        <w:rPr>
          <w:rFonts w:ascii="Times New Roman" w:hAnsi="Times New Roman" w:cs="Times New Roman"/>
          <w:sz w:val="28"/>
          <w:szCs w:val="28"/>
          <w:lang w:val="uk-UA"/>
        </w:rPr>
        <w:t>Практичне заняття було присвячено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5B23E3" w:rsidRPr="005B23E3">
        <w:rPr>
          <w:rFonts w:ascii="Times New Roman" w:hAnsi="Times New Roman" w:cs="Times New Roman"/>
          <w:sz w:val="28"/>
          <w:szCs w:val="28"/>
          <w:lang w:val="uk-UA"/>
        </w:rPr>
        <w:t>засвоєнн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5B23E3"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 та поглибленн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5B23E3"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 теоретичних знань про сутність макропруденційної політики, її мету, функції та значення як невід’ємної частини фінансового регулювання і фінансового нагляду, її структуру, моделі інституційного забезпечення та значення, набути практичних навичок щодо формування інструментарію макропруденційної політики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03AC1" w:rsidRDefault="00103AC1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>Сучасні науково-методичні підходи до розуміння ролі і значення макропруденційної політики: світовий, європейський, український досвід.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2.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>Сучасні науково-методичні підходи до трактування сутності і змісту фінансової стабільності: світовий, європейський, український досвід.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3.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>Ознаки і особливості прояву фінансової стабільності.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4.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>Спільність і відмінність мікро- та макропруденційної політики.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5.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spellStart"/>
      <w:r w:rsidRPr="00103AC1">
        <w:rPr>
          <w:rFonts w:ascii="Times New Roman" w:hAnsi="Times New Roman" w:cs="Times New Roman"/>
          <w:sz w:val="28"/>
          <w:szCs w:val="28"/>
          <w:lang w:val="uk-UA"/>
        </w:rPr>
        <w:t>Макропруденційні</w:t>
      </w:r>
      <w:proofErr w:type="spellEnd"/>
      <w:r w:rsidRPr="00103AC1">
        <w:rPr>
          <w:rFonts w:ascii="Times New Roman" w:hAnsi="Times New Roman" w:cs="Times New Roman"/>
          <w:sz w:val="28"/>
          <w:szCs w:val="28"/>
          <w:lang w:val="uk-UA"/>
        </w:rPr>
        <w:t xml:space="preserve"> інструменти капіталу та їх характеристика.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6.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spellStart"/>
      <w:r w:rsidRPr="00103AC1">
        <w:rPr>
          <w:rFonts w:ascii="Times New Roman" w:hAnsi="Times New Roman" w:cs="Times New Roman"/>
          <w:sz w:val="28"/>
          <w:szCs w:val="28"/>
          <w:lang w:val="uk-UA"/>
        </w:rPr>
        <w:t>Макропруденційні</w:t>
      </w:r>
      <w:proofErr w:type="spellEnd"/>
      <w:r w:rsidRPr="00103AC1">
        <w:rPr>
          <w:rFonts w:ascii="Times New Roman" w:hAnsi="Times New Roman" w:cs="Times New Roman"/>
          <w:sz w:val="28"/>
          <w:szCs w:val="28"/>
          <w:lang w:val="uk-UA"/>
        </w:rPr>
        <w:t xml:space="preserve"> інструменти ліквідності та їх характеристика.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7.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 xml:space="preserve">Європейський та український досвід застосування </w:t>
      </w:r>
      <w:proofErr w:type="spellStart"/>
      <w:r w:rsidRPr="00103AC1">
        <w:rPr>
          <w:rFonts w:ascii="Times New Roman" w:hAnsi="Times New Roman" w:cs="Times New Roman"/>
          <w:sz w:val="28"/>
          <w:szCs w:val="28"/>
          <w:lang w:val="uk-UA"/>
        </w:rPr>
        <w:t>макрупруденційних</w:t>
      </w:r>
      <w:proofErr w:type="spellEnd"/>
      <w:r w:rsidRPr="00103AC1">
        <w:rPr>
          <w:rFonts w:ascii="Times New Roman" w:hAnsi="Times New Roman" w:cs="Times New Roman"/>
          <w:sz w:val="28"/>
          <w:szCs w:val="28"/>
          <w:lang w:val="uk-UA"/>
        </w:rPr>
        <w:t xml:space="preserve"> інструментів.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8.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>Підходи до формування інституційної структури макропруденційної політики в європейських країнах.</w:t>
      </w:r>
    </w:p>
    <w:p w:rsid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9.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>Методичний інструментарій фінансового планування та його розвиток і удосконалення.</w:t>
      </w:r>
    </w:p>
    <w:p w:rsidR="00201956" w:rsidRDefault="00201956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10. Моделі взаємодії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мегарегулятора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фінансового ринку з центральними банками.</w:t>
      </w:r>
    </w:p>
    <w:p w:rsidR="00103AC1" w:rsidRPr="005B23E3" w:rsidRDefault="007A0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11. Причини переходу від однієї моделі фінансового регулювання до іншої.</w:t>
      </w:r>
    </w:p>
    <w:p w:rsidR="008C64E4" w:rsidRDefault="007A01AF" w:rsidP="007A01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E34B55B" wp14:editId="06D0AC5D">
            <wp:extent cx="5940425" cy="3341451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1AF" w:rsidRDefault="007A01AF" w:rsidP="007A01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01956" w:rsidRDefault="00201956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D7138D2" wp14:editId="5ADAAC4A">
            <wp:extent cx="5940425" cy="3341451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1AF" w:rsidRDefault="007A01AF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4908E2F" wp14:editId="21A8CADB">
            <wp:extent cx="5940425" cy="3341451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1AF" w:rsidRDefault="007A01AF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3582B87" wp14:editId="54F826DC">
            <wp:extent cx="5940425" cy="3341451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1AF" w:rsidRDefault="007A01AF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8F85AE4" wp14:editId="32B8005F">
            <wp:extent cx="5940425" cy="3341451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1AF" w:rsidRDefault="007A01AF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A5D961B" wp14:editId="14C71F3A">
            <wp:extent cx="5940425" cy="3341451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1AF" w:rsidRDefault="007A01AF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9B07A93" wp14:editId="5D1F6366">
            <wp:extent cx="5940425" cy="3341451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1AF" w:rsidRDefault="007A01AF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2CDA59C" wp14:editId="142F88AE">
            <wp:extent cx="5940425" cy="3341451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1AF" w:rsidRDefault="007A01AF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A27EA3D" wp14:editId="194BD76D">
            <wp:extent cx="5940425" cy="3341451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AC1" w:rsidRDefault="007A01AF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E37D76F" wp14:editId="29213836">
            <wp:extent cx="5940425" cy="3341451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AC1"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4E132E" w:rsidRDefault="004E132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20.04.2021 р.</w:t>
      </w: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5. Фінансові цикли та кризи. </w:t>
      </w:r>
    </w:p>
    <w:p w:rsidR="008C64E4" w:rsidRDefault="003D1617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Обговорено п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ричини виникнення фінансових криз</w:t>
      </w:r>
      <w:r>
        <w:rPr>
          <w:rFonts w:ascii="Times New Roman" w:hAnsi="Times New Roman" w:cs="Times New Roman"/>
          <w:sz w:val="28"/>
          <w:szCs w:val="28"/>
          <w:lang w:val="uk-UA"/>
        </w:rPr>
        <w:t>, їх ц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иклічність та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особливу увагу приділено 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економічн</w:t>
      </w:r>
      <w:r>
        <w:rPr>
          <w:rFonts w:ascii="Times New Roman" w:hAnsi="Times New Roman" w:cs="Times New Roman"/>
          <w:sz w:val="28"/>
          <w:szCs w:val="28"/>
          <w:lang w:val="uk-UA"/>
        </w:rPr>
        <w:t>им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криз</w:t>
      </w:r>
      <w:r>
        <w:rPr>
          <w:rFonts w:ascii="Times New Roman" w:hAnsi="Times New Roman" w:cs="Times New Roman"/>
          <w:sz w:val="28"/>
          <w:szCs w:val="28"/>
          <w:lang w:val="uk-UA"/>
        </w:rPr>
        <w:t>ам</w:t>
      </w:r>
      <w:r w:rsidR="00BF4B88">
        <w:rPr>
          <w:rFonts w:ascii="Times New Roman" w:hAnsi="Times New Roman" w:cs="Times New Roman"/>
          <w:sz w:val="28"/>
          <w:szCs w:val="28"/>
          <w:lang w:val="uk-UA"/>
        </w:rPr>
        <w:t>, зокрема, а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наліз причин та наслідків найбільших сучасних криз та їх вплив на українську еконо</w:t>
      </w:r>
      <w:r w:rsidR="00BF4B88">
        <w:rPr>
          <w:rFonts w:ascii="Times New Roman" w:hAnsi="Times New Roman" w:cs="Times New Roman"/>
          <w:sz w:val="28"/>
          <w:szCs w:val="28"/>
          <w:lang w:val="uk-UA"/>
        </w:rPr>
        <w:t>міку; ф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інансові кризи в Україні від 1991 до сьогодення</w:t>
      </w:r>
      <w:r w:rsidR="00BF4B88">
        <w:rPr>
          <w:rFonts w:ascii="Times New Roman" w:hAnsi="Times New Roman" w:cs="Times New Roman"/>
          <w:sz w:val="28"/>
          <w:szCs w:val="28"/>
          <w:lang w:val="uk-UA"/>
        </w:rPr>
        <w:t>; м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еханізми запобігання та протидії фінансовим кризам.</w:t>
      </w:r>
    </w:p>
    <w:p w:rsidR="00BF4B88" w:rsidRPr="003D1617" w:rsidRDefault="00BF4B88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C64E4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Практичне заняття 5. Фінансові цикли та кризи. </w:t>
      </w:r>
    </w:p>
    <w:p w:rsidR="00103AC1" w:rsidRPr="00103AC1" w:rsidRDefault="00103AC1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B23E3">
        <w:rPr>
          <w:rFonts w:ascii="Times New Roman" w:hAnsi="Times New Roman" w:cs="Times New Roman"/>
          <w:sz w:val="28"/>
          <w:szCs w:val="28"/>
          <w:lang w:val="uk-UA"/>
        </w:rPr>
        <w:t>Практичне заняття було присвячено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5B23E3">
        <w:rPr>
          <w:rFonts w:ascii="Times New Roman" w:hAnsi="Times New Roman" w:cs="Times New Roman"/>
          <w:sz w:val="28"/>
          <w:szCs w:val="28"/>
          <w:lang w:val="uk-UA"/>
        </w:rPr>
        <w:t>засвоєнн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 та поглибленн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103AC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теоретичних знань про сутність та передумови виникнення фінансової кризи, набуття практичних навичок проведення аналізу причин та наслідків фінансових криз; дослідження найбільших світових та українських фінансових криз, їх передумови та наслідки; опрацювання основних функцій державного управління, що реалізуються через проведення антикризової політики, спрямованої на вирішення проблем економічного розвитку як елементу механізму запобігання та протидії фінансовим кризам</w:t>
      </w:r>
      <w:r w:rsidR="00FF74A3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103AC1" w:rsidRDefault="00103AC1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103AC1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Теорія економічних циклів і глобальна фінансова криза</w:t>
      </w:r>
      <w:r w:rsidR="00FF74A3">
        <w:rPr>
          <w:sz w:val="28"/>
          <w:szCs w:val="28"/>
          <w:lang w:val="uk-UA"/>
        </w:rPr>
        <w:t>.</w:t>
      </w:r>
    </w:p>
    <w:p w:rsidR="00103AC1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Циклічність і негативні наслідки фінансово-економічної кризи в Україні</w:t>
      </w:r>
      <w:r w:rsidR="00FF74A3">
        <w:rPr>
          <w:sz w:val="28"/>
          <w:szCs w:val="28"/>
          <w:lang w:val="uk-UA"/>
        </w:rPr>
        <w:t>.</w:t>
      </w:r>
    </w:p>
    <w:p w:rsidR="00103AC1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Глобальний економічний цикл</w:t>
      </w:r>
      <w:r w:rsidR="00FF74A3">
        <w:rPr>
          <w:sz w:val="28"/>
          <w:szCs w:val="28"/>
          <w:lang w:val="uk-UA"/>
        </w:rPr>
        <w:t>.</w:t>
      </w:r>
    </w:p>
    <w:p w:rsidR="00103AC1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Трансформація середньострокового економічного циклу</w:t>
      </w:r>
      <w:r w:rsidR="00FF74A3">
        <w:rPr>
          <w:sz w:val="28"/>
          <w:szCs w:val="28"/>
          <w:lang w:val="uk-UA"/>
        </w:rPr>
        <w:t>.</w:t>
      </w:r>
    </w:p>
    <w:p w:rsidR="00103AC1" w:rsidRPr="00FF74A3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</w:t>
      </w:r>
      <w:r w:rsidRPr="007E54CF">
        <w:rPr>
          <w:sz w:val="28"/>
          <w:szCs w:val="28"/>
          <w:lang w:val="uk-UA"/>
        </w:rPr>
        <w:t>плив криз</w:t>
      </w:r>
      <w:r>
        <w:rPr>
          <w:sz w:val="28"/>
          <w:szCs w:val="28"/>
          <w:lang w:val="uk-UA"/>
        </w:rPr>
        <w:t>и</w:t>
      </w:r>
      <w:r w:rsidRPr="007E54CF">
        <w:rPr>
          <w:sz w:val="28"/>
          <w:szCs w:val="28"/>
          <w:lang w:val="uk-UA"/>
        </w:rPr>
        <w:t xml:space="preserve"> на кредитний цикл, ризики та прибутковість </w:t>
      </w:r>
      <w:r w:rsidRPr="00FF74A3">
        <w:rPr>
          <w:sz w:val="28"/>
          <w:szCs w:val="28"/>
          <w:lang w:val="uk-UA"/>
        </w:rPr>
        <w:t>фінансових установ</w:t>
      </w:r>
      <w:r w:rsidR="00FF74A3">
        <w:rPr>
          <w:sz w:val="28"/>
          <w:szCs w:val="28"/>
          <w:lang w:val="uk-UA"/>
        </w:rPr>
        <w:t>.</w:t>
      </w:r>
    </w:p>
    <w:p w:rsidR="00103AC1" w:rsidRPr="00FF74A3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Антикризова політика Національного банку України</w:t>
      </w:r>
      <w:r w:rsidR="00FF74A3">
        <w:rPr>
          <w:sz w:val="28"/>
          <w:szCs w:val="28"/>
          <w:lang w:val="uk-UA"/>
        </w:rPr>
        <w:t>.</w:t>
      </w:r>
    </w:p>
    <w:p w:rsidR="00103AC1" w:rsidRPr="00FF74A3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Міжнародний досвід подолання та стратегії виходу з банківської кризи</w:t>
      </w:r>
      <w:r w:rsidR="00FF74A3" w:rsidRPr="00FF74A3">
        <w:rPr>
          <w:sz w:val="28"/>
          <w:szCs w:val="28"/>
          <w:lang w:val="uk-UA"/>
        </w:rPr>
        <w:t>.</w:t>
      </w:r>
    </w:p>
    <w:p w:rsidR="00FF74A3" w:rsidRDefault="005D16E3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hyperlink r:id="rId30" w:history="1">
        <w:r w:rsidR="00FF74A3" w:rsidRPr="00FF74A3">
          <w:rPr>
            <w:rStyle w:val="a4"/>
            <w:color w:val="auto"/>
            <w:sz w:val="28"/>
            <w:szCs w:val="28"/>
            <w:u w:val="none"/>
            <w:shd w:val="clear" w:color="auto" w:fill="FFFFFF"/>
            <w:lang w:val="uk-UA"/>
          </w:rPr>
          <w:t>Періодизація розвитку фінансового сектору України</w:t>
        </w:r>
      </w:hyperlink>
      <w:r w:rsidR="00FF74A3" w:rsidRPr="00FF74A3">
        <w:rPr>
          <w:sz w:val="28"/>
          <w:szCs w:val="28"/>
          <w:lang w:val="uk-UA"/>
        </w:rPr>
        <w:t>.</w:t>
      </w:r>
    </w:p>
    <w:p w:rsidR="00313E5C" w:rsidRPr="00313E5C" w:rsidRDefault="00313E5C" w:rsidP="00313E5C">
      <w:pPr>
        <w:tabs>
          <w:tab w:val="left" w:pos="709"/>
        </w:tabs>
        <w:ind w:right="20"/>
        <w:jc w:val="both"/>
        <w:rPr>
          <w:sz w:val="28"/>
          <w:szCs w:val="28"/>
          <w:lang w:val="uk-UA"/>
        </w:rPr>
      </w:pPr>
    </w:p>
    <w:p w:rsidR="008C64E4" w:rsidRPr="00FF74A3" w:rsidRDefault="007A01AF" w:rsidP="007A01A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11E6AD2" wp14:editId="5AC4BDB4">
            <wp:extent cx="5940425" cy="3341451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B88" w:rsidRPr="00FF74A3" w:rsidRDefault="008A4793" w:rsidP="008A4793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73100DF" wp14:editId="646EAA4D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F03" w:rsidRDefault="005D7F03" w:rsidP="0034709E">
      <w:pPr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3292F" w:rsidRDefault="005D7F03" w:rsidP="005D7F03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1AF6022" wp14:editId="58FDCF1E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AC1" w:rsidRPr="00FF74A3" w:rsidRDefault="0073292F" w:rsidP="005D7F03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C580004" wp14:editId="65780A28">
            <wp:extent cx="5940425" cy="3341451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AC1" w:rsidRPr="00FF74A3"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4E132E" w:rsidRDefault="004E132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E132E" w:rsidRDefault="004E132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27.04.2021 р., 11.05.2021 р.</w:t>
      </w: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6. Стабільність фінансових посередників. </w:t>
      </w:r>
    </w:p>
    <w:p w:rsidR="00BF4B88" w:rsidRPr="00BF4B88" w:rsidRDefault="00103AC1" w:rsidP="0034709E">
      <w:pPr>
        <w:ind w:firstLine="709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На лекційному занятті було обговорено особливості</w:t>
      </w:r>
      <w:r w:rsidR="00BF4B88" w:rsidRPr="00BF4B88">
        <w:rPr>
          <w:rFonts w:ascii="Times New Roman" w:hAnsi="Times New Roman" w:cs="Times New Roman"/>
          <w:sz w:val="28"/>
          <w:lang w:val="uk-UA"/>
        </w:rPr>
        <w:t xml:space="preserve"> фінансового посередництва в Україні. Внутрішні чинники вразливості фінансової системи України та пріоритетні заходи щодо їх подолання.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="0034153A">
        <w:rPr>
          <w:rFonts w:ascii="Times New Roman" w:hAnsi="Times New Roman" w:cs="Times New Roman"/>
          <w:sz w:val="28"/>
          <w:lang w:val="uk-UA"/>
        </w:rPr>
        <w:t>Розглянуто основні</w:t>
      </w:r>
      <w:r w:rsidR="0034153A" w:rsidRPr="0034153A">
        <w:rPr>
          <w:rFonts w:ascii="Times New Roman" w:hAnsi="Times New Roman" w:cs="Times New Roman"/>
          <w:sz w:val="28"/>
          <w:lang w:val="uk-UA"/>
        </w:rPr>
        <w:t xml:space="preserve"> шляхи підвищення стабільності фінансової системи України, які спрямовані на подолання/попередження розгортанню ризиків.</w:t>
      </w:r>
    </w:p>
    <w:p w:rsidR="00BF4B88" w:rsidRPr="003D1617" w:rsidRDefault="00BF4B88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Практичне заняття 6. Стабільність фінансових посередників.</w:t>
      </w:r>
    </w:p>
    <w:p w:rsidR="008C64E4" w:rsidRPr="008952AE" w:rsidRDefault="008952A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952AE">
        <w:rPr>
          <w:rFonts w:ascii="Times New Roman" w:hAnsi="Times New Roman" w:cs="Times New Roman"/>
          <w:sz w:val="28"/>
          <w:szCs w:val="28"/>
          <w:lang w:val="uk-UA"/>
        </w:rPr>
        <w:t xml:space="preserve">Практичне заняття було присвячено засвоєнню та поглибленню теоретичних знань про сутність та </w:t>
      </w:r>
      <w:r w:rsidR="00B959A2">
        <w:rPr>
          <w:rFonts w:ascii="Times New Roman" w:hAnsi="Times New Roman" w:cs="Times New Roman"/>
          <w:sz w:val="28"/>
          <w:szCs w:val="28"/>
          <w:lang w:val="uk-UA"/>
        </w:rPr>
        <w:t>роль фінансового посередництва в Україні</w:t>
      </w:r>
      <w:r w:rsidR="00D23A61">
        <w:rPr>
          <w:rFonts w:ascii="Times New Roman" w:hAnsi="Times New Roman" w:cs="Times New Roman"/>
          <w:sz w:val="28"/>
          <w:szCs w:val="28"/>
          <w:lang w:val="uk-UA"/>
        </w:rPr>
        <w:t>, опрацьовано суб’єктний склад фінансового посередництва, зокрема: банки, інститути спільного користування, недержавні пенсійні фонди, страхові компанії та інші кредитні фінансові посередники. Розглянуто особливості взаємодії фінансових посередників, зокрема питання інтеграції та конвергенції, як сучасні форми розвитку фінансового посередництва, а також переваги та ризики існування сучасних форм взаємодії фінансових посередників.</w:t>
      </w:r>
    </w:p>
    <w:p w:rsidR="00D23A61" w:rsidRDefault="00D23A61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34709E" w:rsidRDefault="0034709E" w:rsidP="0034709E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Сутність та роль фінансового посередництва в економіці.</w:t>
      </w:r>
    </w:p>
    <w:p w:rsidR="00BF4B88" w:rsidRDefault="0034709E" w:rsidP="0034709E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 w:rsidRPr="0034709E">
        <w:rPr>
          <w:sz w:val="28"/>
          <w:szCs w:val="28"/>
          <w:lang w:val="uk-UA"/>
        </w:rPr>
        <w:t>Види та роль фінансових посередників на сучасному етапі розвитку фінансової системи</w:t>
      </w:r>
      <w:r>
        <w:rPr>
          <w:sz w:val="28"/>
          <w:szCs w:val="28"/>
          <w:lang w:val="uk-UA"/>
        </w:rPr>
        <w:t>.</w:t>
      </w:r>
    </w:p>
    <w:p w:rsidR="0034709E" w:rsidRDefault="0034709E" w:rsidP="0034709E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Банки як суб’єкти фінансового посередництва.</w:t>
      </w:r>
    </w:p>
    <w:p w:rsidR="0034709E" w:rsidRDefault="0034709E" w:rsidP="0034709E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Інститути спільного інвестування як суб’єкти фінансового посередництва.</w:t>
      </w:r>
    </w:p>
    <w:p w:rsidR="0034709E" w:rsidRDefault="0034709E" w:rsidP="00FF74A3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Страхові компанії як суб’єкти фінансового посередництва.</w:t>
      </w:r>
    </w:p>
    <w:p w:rsidR="0034709E" w:rsidRDefault="0034709E" w:rsidP="00FF74A3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Діяльність інших кредитних фінансових посередників.</w:t>
      </w:r>
    </w:p>
    <w:p w:rsidR="0034709E" w:rsidRDefault="0034709E" w:rsidP="00FF74A3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Особливості взаємодії фінансових посередників.</w:t>
      </w:r>
    </w:p>
    <w:p w:rsidR="0034709E" w:rsidRDefault="00FF74A3" w:rsidP="00FF74A3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Стратегія конвергенція як сучасна модель розвитку фінансового посередництва в Україні</w:t>
      </w:r>
      <w:r w:rsidR="0073292F">
        <w:rPr>
          <w:sz w:val="28"/>
          <w:szCs w:val="28"/>
          <w:lang w:val="uk-UA"/>
        </w:rPr>
        <w:t>.</w:t>
      </w:r>
    </w:p>
    <w:p w:rsidR="0073292F" w:rsidRDefault="0073292F" w:rsidP="00FF74A3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Характеристика об’єднаних органів регулювання і нагляду за діяльністю фінансового сектору в розвинених країнах.</w:t>
      </w:r>
    </w:p>
    <w:p w:rsidR="0073292F" w:rsidRPr="0034709E" w:rsidRDefault="0073292F" w:rsidP="00FF74A3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Діяльність НБУ в сфері імплементації угоди про асоціацію.</w:t>
      </w:r>
    </w:p>
    <w:p w:rsidR="0034709E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75197BC" wp14:editId="018964EA">
            <wp:extent cx="5940425" cy="3341451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C7E2BD2" wp14:editId="6D0FCD22">
            <wp:extent cx="5940425" cy="3341451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30FB183" wp14:editId="60FC6246">
            <wp:extent cx="5940425" cy="3341451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2332AFB" wp14:editId="130DB165">
            <wp:extent cx="5940425" cy="3341451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9606312" wp14:editId="42487F8A">
            <wp:extent cx="5940425" cy="3341451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80BE99">
            <wp:extent cx="5937885" cy="3340735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A4793" w:rsidRPr="008952AE" w:rsidRDefault="008A4793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14E0788" wp14:editId="79566F90">
            <wp:extent cx="5940425" cy="33414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AC1" w:rsidRPr="008952AE" w:rsidRDefault="00103AC1" w:rsidP="0034709E">
      <w:pPr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8952AE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4E132E" w:rsidRDefault="004E132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E132E">
        <w:rPr>
          <w:rFonts w:ascii="Times New Roman" w:hAnsi="Times New Roman" w:cs="Times New Roman"/>
          <w:b/>
          <w:sz w:val="28"/>
          <w:lang w:val="uk-UA"/>
        </w:rPr>
        <w:lastRenderedPageBreak/>
        <w:t>18.05.2021 р.</w:t>
      </w: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7. Стабільність фінансових конгломератів. </w:t>
      </w:r>
    </w:p>
    <w:p w:rsidR="008C64E4" w:rsidRPr="00D23A61" w:rsidRDefault="00D23A6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На лекційному занятті було обговорено</w:t>
      </w:r>
      <w:r w:rsidRPr="00D23A6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питання д</w:t>
      </w:r>
      <w:r w:rsidRPr="00D23A61">
        <w:rPr>
          <w:rFonts w:ascii="Times New Roman" w:hAnsi="Times New Roman" w:cs="Times New Roman"/>
          <w:sz w:val="28"/>
          <w:szCs w:val="28"/>
          <w:lang w:val="uk-UA"/>
        </w:rPr>
        <w:t>іяльн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D23A61">
        <w:rPr>
          <w:rFonts w:ascii="Times New Roman" w:hAnsi="Times New Roman" w:cs="Times New Roman"/>
          <w:sz w:val="28"/>
          <w:szCs w:val="28"/>
          <w:lang w:val="uk-UA"/>
        </w:rPr>
        <w:t>ст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D23A61">
        <w:rPr>
          <w:rFonts w:ascii="Times New Roman" w:hAnsi="Times New Roman" w:cs="Times New Roman"/>
          <w:sz w:val="28"/>
          <w:szCs w:val="28"/>
          <w:lang w:val="uk-UA"/>
        </w:rPr>
        <w:t xml:space="preserve"> фінансових конгломератів та їх вплив на стійкість фінансового сектору України. </w:t>
      </w:r>
      <w:r w:rsidR="00C47C6B">
        <w:rPr>
          <w:rFonts w:ascii="Times New Roman" w:hAnsi="Times New Roman" w:cs="Times New Roman"/>
          <w:sz w:val="28"/>
          <w:szCs w:val="28"/>
          <w:lang w:val="uk-UA"/>
        </w:rPr>
        <w:t>Зокрема, висвітлено такі питання: теоретичні засади діяльності фінансових конгломератів</w:t>
      </w:r>
      <w:r w:rsidR="002A1EDC">
        <w:rPr>
          <w:rFonts w:ascii="Times New Roman" w:hAnsi="Times New Roman" w:cs="Times New Roman"/>
          <w:sz w:val="28"/>
          <w:szCs w:val="28"/>
          <w:lang w:val="uk-UA"/>
        </w:rPr>
        <w:t xml:space="preserve"> і їх місце в системі фінансового посередництва; роль інтеграційних та конвергентних процесів у розвитку фінансових конгломератів; в</w:t>
      </w:r>
      <w:r w:rsidR="002A1EDC" w:rsidRPr="002A1EDC">
        <w:rPr>
          <w:rFonts w:ascii="Times New Roman" w:hAnsi="Times New Roman" w:cs="Times New Roman"/>
          <w:sz w:val="28"/>
          <w:szCs w:val="28"/>
          <w:lang w:val="uk-UA"/>
        </w:rPr>
        <w:t>плив міжнародних фінансових конгломератів н</w:t>
      </w:r>
      <w:r w:rsidR="002A1EDC">
        <w:rPr>
          <w:rFonts w:ascii="Times New Roman" w:hAnsi="Times New Roman" w:cs="Times New Roman"/>
          <w:sz w:val="28"/>
          <w:szCs w:val="28"/>
          <w:lang w:val="uk-UA"/>
        </w:rPr>
        <w:t>а фінансовий ринок України</w:t>
      </w:r>
      <w:r w:rsidR="0034709E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F4B88" w:rsidRPr="00D23A61" w:rsidRDefault="00BF4B88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Практичне 7. Стабільність фінансових конгломератів.</w:t>
      </w:r>
    </w:p>
    <w:p w:rsidR="008C64E4" w:rsidRDefault="0034709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Практичне заняття було</w:t>
      </w:r>
      <w:r w:rsidRPr="0034709E">
        <w:rPr>
          <w:rFonts w:ascii="Times New Roman" w:hAnsi="Times New Roman" w:cs="Times New Roman"/>
          <w:sz w:val="28"/>
          <w:szCs w:val="28"/>
          <w:lang w:val="uk-UA"/>
        </w:rPr>
        <w:t xml:space="preserve"> присвячено актуальним питанням аналізу діяльності фінансових конгломератів на вітчизняному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європейському та </w:t>
      </w:r>
      <w:r w:rsidRPr="0034709E">
        <w:rPr>
          <w:rFonts w:ascii="Times New Roman" w:hAnsi="Times New Roman" w:cs="Times New Roman"/>
          <w:sz w:val="28"/>
          <w:szCs w:val="28"/>
          <w:lang w:val="uk-UA"/>
        </w:rPr>
        <w:t xml:space="preserve"> світовому фінансових ринках. Досліджено теоретичні аспекти сутності поняття «фінансовий конгломерат».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4709E">
        <w:rPr>
          <w:rFonts w:ascii="Times New Roman" w:hAnsi="Times New Roman" w:cs="Times New Roman"/>
          <w:sz w:val="28"/>
          <w:szCs w:val="28"/>
          <w:lang w:val="uk-UA"/>
        </w:rPr>
        <w:t>Здійснено аналіз масштабів діяльності фінансових конгломератів на світовому та вітчизняному фінансових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4709E">
        <w:rPr>
          <w:rFonts w:ascii="Times New Roman" w:hAnsi="Times New Roman" w:cs="Times New Roman"/>
          <w:sz w:val="28"/>
          <w:szCs w:val="28"/>
          <w:lang w:val="uk-UA"/>
        </w:rPr>
        <w:t>ринках. Обґрунтовано методичні підходи до обчислення показників, які дають змогу оцінити вплив міжнародних конгломератів на фінансовий сектор України з позиції забезпечення його стійкості.</w:t>
      </w:r>
    </w:p>
    <w:p w:rsidR="0034709E" w:rsidRDefault="0034709E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34709E" w:rsidRDefault="0034709E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34709E">
        <w:rPr>
          <w:sz w:val="28"/>
          <w:szCs w:val="28"/>
          <w:lang w:val="uk-UA"/>
        </w:rPr>
        <w:t>Діяльність фінансових конгломератів та їх вплив на стійкість фінансового сектору України</w:t>
      </w:r>
      <w:r>
        <w:rPr>
          <w:sz w:val="28"/>
          <w:szCs w:val="28"/>
          <w:lang w:val="uk-UA"/>
        </w:rPr>
        <w:t>.</w:t>
      </w:r>
    </w:p>
    <w:p w:rsidR="0034709E" w:rsidRDefault="0034709E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34709E">
        <w:rPr>
          <w:sz w:val="28"/>
          <w:szCs w:val="28"/>
          <w:lang w:val="uk-UA"/>
        </w:rPr>
        <w:t>Здійснення нагляду за фінансовими конгломератами: європейський досвід</w:t>
      </w:r>
      <w:r w:rsidR="00FF74A3">
        <w:rPr>
          <w:sz w:val="28"/>
          <w:szCs w:val="28"/>
          <w:lang w:val="uk-UA"/>
        </w:rPr>
        <w:t>.</w:t>
      </w:r>
    </w:p>
    <w:p w:rsidR="00FF74A3" w:rsidRDefault="00FF74A3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Особливості використання концепції „</w:t>
      </w:r>
      <w:proofErr w:type="spellStart"/>
      <w:r w:rsidRPr="00FF74A3">
        <w:rPr>
          <w:sz w:val="28"/>
          <w:szCs w:val="28"/>
          <w:lang w:val="uk-UA"/>
        </w:rPr>
        <w:t>bancassurance</w:t>
      </w:r>
      <w:proofErr w:type="spellEnd"/>
      <w:r w:rsidRPr="00FF74A3">
        <w:rPr>
          <w:sz w:val="28"/>
          <w:szCs w:val="28"/>
          <w:lang w:val="uk-UA"/>
        </w:rPr>
        <w:t>” у діяльності фінансових конгломератів</w:t>
      </w:r>
      <w:r>
        <w:rPr>
          <w:sz w:val="28"/>
          <w:szCs w:val="28"/>
          <w:lang w:val="uk-UA"/>
        </w:rPr>
        <w:t>.</w:t>
      </w:r>
    </w:p>
    <w:p w:rsidR="00FF74A3" w:rsidRDefault="00FF74A3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Критерії ідентифікації фінансового конгломерату: вітчизняний та європейський підходи</w:t>
      </w:r>
      <w:r>
        <w:rPr>
          <w:sz w:val="28"/>
          <w:szCs w:val="28"/>
          <w:lang w:val="uk-UA"/>
        </w:rPr>
        <w:t>.</w:t>
      </w:r>
    </w:p>
    <w:p w:rsidR="00FF74A3" w:rsidRDefault="00FF74A3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Виникнення і особливості діяльності фінансових конгломератів на світовому фінансовому ринку</w:t>
      </w:r>
      <w:r>
        <w:rPr>
          <w:sz w:val="28"/>
          <w:szCs w:val="28"/>
          <w:lang w:val="uk-UA"/>
        </w:rPr>
        <w:t>.</w:t>
      </w:r>
    </w:p>
    <w:p w:rsidR="00FF74A3" w:rsidRDefault="00FF74A3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Міжнародні фінансові конгломерати на страховому ринку України</w:t>
      </w:r>
      <w:r>
        <w:rPr>
          <w:sz w:val="28"/>
          <w:szCs w:val="28"/>
          <w:lang w:val="uk-UA"/>
        </w:rPr>
        <w:t>.</w:t>
      </w:r>
    </w:p>
    <w:p w:rsidR="00FF74A3" w:rsidRDefault="00FF74A3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Особливості діяльності фінансових конгломератів на міжнародному фінансовому ринку</w:t>
      </w:r>
      <w:r>
        <w:rPr>
          <w:sz w:val="28"/>
          <w:szCs w:val="28"/>
          <w:lang w:val="uk-UA"/>
        </w:rPr>
        <w:t>.</w:t>
      </w:r>
    </w:p>
    <w:p w:rsidR="00313E5C" w:rsidRDefault="00313E5C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Програма оцінки стійкості фінансового сектору.</w:t>
      </w:r>
    </w:p>
    <w:p w:rsidR="00FF74A3" w:rsidRPr="0034709E" w:rsidRDefault="00FF74A3" w:rsidP="00FF74A3">
      <w:pPr>
        <w:pStyle w:val="a3"/>
        <w:ind w:left="709"/>
        <w:jc w:val="both"/>
        <w:rPr>
          <w:sz w:val="28"/>
          <w:szCs w:val="28"/>
          <w:lang w:val="uk-UA"/>
        </w:rPr>
      </w:pPr>
    </w:p>
    <w:p w:rsidR="00BF4B88" w:rsidRPr="00D23A61" w:rsidRDefault="004E132E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1F1C90F" wp14:editId="7FB2AC55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92F" w:rsidRDefault="0073292F" w:rsidP="0034709E">
      <w:pPr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3292F" w:rsidRDefault="00313E5C" w:rsidP="0073292F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445DEF3" wp14:editId="732F47ED">
            <wp:extent cx="5940425" cy="3341451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E5C" w:rsidRDefault="00313E5C" w:rsidP="00313E5C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D8177A9" wp14:editId="45C4324C">
            <wp:extent cx="5940425" cy="3341451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AC1" w:rsidRDefault="00103AC1" w:rsidP="00313E5C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4E132E" w:rsidRDefault="004E132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25.05.2021 р.</w:t>
      </w:r>
    </w:p>
    <w:p w:rsidR="00B02AD2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Лекційне заняття 8. Стабільність фінансового сектору.</w:t>
      </w:r>
    </w:p>
    <w:p w:rsidR="00FF74A3" w:rsidRPr="00FF74A3" w:rsidRDefault="00523D1A" w:rsidP="00523D1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На лекційному заняття обговорено питання </w:t>
      </w:r>
      <w:r w:rsidRPr="00523D1A">
        <w:rPr>
          <w:rFonts w:ascii="Times New Roman" w:hAnsi="Times New Roman" w:cs="Times New Roman"/>
          <w:sz w:val="28"/>
          <w:szCs w:val="28"/>
          <w:lang w:val="uk-UA"/>
        </w:rPr>
        <w:t>сутн</w:t>
      </w:r>
      <w:r>
        <w:rPr>
          <w:rFonts w:ascii="Times New Roman" w:hAnsi="Times New Roman" w:cs="Times New Roman"/>
          <w:sz w:val="28"/>
          <w:szCs w:val="28"/>
          <w:lang w:val="uk-UA"/>
        </w:rPr>
        <w:t>ос</w:t>
      </w:r>
      <w:r w:rsidRPr="00523D1A">
        <w:rPr>
          <w:rFonts w:ascii="Times New Roman" w:hAnsi="Times New Roman" w:cs="Times New Roman"/>
          <w:sz w:val="28"/>
          <w:szCs w:val="28"/>
          <w:lang w:val="uk-UA"/>
        </w:rPr>
        <w:t>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23D1A">
        <w:rPr>
          <w:rFonts w:ascii="Times New Roman" w:hAnsi="Times New Roman" w:cs="Times New Roman"/>
          <w:sz w:val="28"/>
          <w:szCs w:val="28"/>
          <w:lang w:val="uk-UA"/>
        </w:rPr>
        <w:t xml:space="preserve"> фінансової стабільності, основні завдання центрального банку в сфері моніторингу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23D1A">
        <w:rPr>
          <w:rFonts w:ascii="Times New Roman" w:hAnsi="Times New Roman" w:cs="Times New Roman"/>
          <w:sz w:val="28"/>
          <w:szCs w:val="28"/>
          <w:lang w:val="uk-UA"/>
        </w:rPr>
        <w:t>фінансового сектора, його інструменти, які сприяють подоланню фінансової нестабільності. Розглянуто зарубіжний досвід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23D1A">
        <w:rPr>
          <w:rFonts w:ascii="Times New Roman" w:hAnsi="Times New Roman" w:cs="Times New Roman"/>
          <w:sz w:val="28"/>
          <w:szCs w:val="28"/>
          <w:lang w:val="uk-UA"/>
        </w:rPr>
        <w:t>участі центрального банку в забезпеченні фінансової стабільності та запропоновано напрями збільшення ролі монетарного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23D1A">
        <w:rPr>
          <w:rFonts w:ascii="Times New Roman" w:hAnsi="Times New Roman" w:cs="Times New Roman"/>
          <w:sz w:val="28"/>
          <w:szCs w:val="28"/>
          <w:lang w:val="uk-UA"/>
        </w:rPr>
        <w:t>регулятора у підтриманні стабільності фінансової системи</w:t>
      </w:r>
    </w:p>
    <w:p w:rsidR="008C64E4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C64E4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Практичне заняття 8. Стабільність фінансового сектору.</w:t>
      </w:r>
    </w:p>
    <w:p w:rsidR="00523D1A" w:rsidRPr="00523D1A" w:rsidRDefault="00523D1A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36"/>
          <w:szCs w:val="28"/>
          <w:lang w:val="uk-UA"/>
        </w:rPr>
      </w:pPr>
      <w:r w:rsidRPr="008952AE">
        <w:rPr>
          <w:rFonts w:ascii="Times New Roman" w:hAnsi="Times New Roman" w:cs="Times New Roman"/>
          <w:sz w:val="28"/>
          <w:szCs w:val="28"/>
          <w:lang w:val="uk-UA"/>
        </w:rPr>
        <w:t xml:space="preserve">Практичне заняття було присвячено засвоєнню та поглибленню теоретичних знань про сутність та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роль стабільності фінансового сектору, </w:t>
      </w:r>
      <w:r w:rsidRPr="00523D1A">
        <w:rPr>
          <w:rFonts w:ascii="Times New Roman" w:hAnsi="Times New Roman" w:cs="Times New Roman"/>
          <w:sz w:val="28"/>
          <w:lang w:val="uk-UA"/>
        </w:rPr>
        <w:t>інструменти і механізми забезпечення стабільності фінансової системи, співвідношення між цілями монетарної і фінансової стабільності.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523D1A">
        <w:rPr>
          <w:rFonts w:ascii="Times New Roman" w:hAnsi="Times New Roman" w:cs="Times New Roman"/>
          <w:sz w:val="28"/>
          <w:lang w:val="uk-UA"/>
        </w:rPr>
        <w:t xml:space="preserve">Проаналізовано особливості забезпечення стійкого розвитку фінансового сектора національної економіки. Окреслено шляхи забезпечення фінансової стабільності та динамічного розвитку фінансового сектору в умовах трансформаційних перетворень, які полягатимуть в удосконаленні системи регулювання та нагляду; імплементації рекомендацій </w:t>
      </w:r>
      <w:proofErr w:type="spellStart"/>
      <w:r w:rsidRPr="00523D1A">
        <w:rPr>
          <w:rFonts w:ascii="Times New Roman" w:hAnsi="Times New Roman" w:cs="Times New Roman"/>
          <w:sz w:val="28"/>
        </w:rPr>
        <w:t>Basel</w:t>
      </w:r>
      <w:proofErr w:type="spellEnd"/>
      <w:r w:rsidRPr="00523D1A">
        <w:rPr>
          <w:rFonts w:ascii="Times New Roman" w:hAnsi="Times New Roman" w:cs="Times New Roman"/>
          <w:sz w:val="28"/>
          <w:lang w:val="uk-UA"/>
        </w:rPr>
        <w:t xml:space="preserve"> </w:t>
      </w:r>
      <w:r w:rsidRPr="00523D1A">
        <w:rPr>
          <w:rFonts w:ascii="Times New Roman" w:hAnsi="Times New Roman" w:cs="Times New Roman"/>
          <w:sz w:val="28"/>
        </w:rPr>
        <w:t>III</w:t>
      </w:r>
      <w:r w:rsidRPr="00523D1A">
        <w:rPr>
          <w:rFonts w:ascii="Times New Roman" w:hAnsi="Times New Roman" w:cs="Times New Roman"/>
          <w:sz w:val="28"/>
          <w:lang w:val="uk-UA"/>
        </w:rPr>
        <w:t xml:space="preserve"> і </w:t>
      </w:r>
      <w:proofErr w:type="spellStart"/>
      <w:r w:rsidRPr="00523D1A">
        <w:rPr>
          <w:rFonts w:ascii="Times New Roman" w:hAnsi="Times New Roman" w:cs="Times New Roman"/>
          <w:sz w:val="28"/>
        </w:rPr>
        <w:t>Solvency</w:t>
      </w:r>
      <w:proofErr w:type="spellEnd"/>
      <w:r w:rsidRPr="00523D1A">
        <w:rPr>
          <w:rFonts w:ascii="Times New Roman" w:hAnsi="Times New Roman" w:cs="Times New Roman"/>
          <w:sz w:val="28"/>
          <w:lang w:val="uk-UA"/>
        </w:rPr>
        <w:t xml:space="preserve"> </w:t>
      </w:r>
      <w:r w:rsidRPr="00523D1A">
        <w:rPr>
          <w:rFonts w:ascii="Times New Roman" w:hAnsi="Times New Roman" w:cs="Times New Roman"/>
          <w:sz w:val="28"/>
        </w:rPr>
        <w:t>II</w:t>
      </w:r>
      <w:r w:rsidRPr="00523D1A">
        <w:rPr>
          <w:rFonts w:ascii="Times New Roman" w:hAnsi="Times New Roman" w:cs="Times New Roman"/>
          <w:sz w:val="28"/>
          <w:lang w:val="uk-UA"/>
        </w:rPr>
        <w:t xml:space="preserve"> щодо платоспроможності та ліквідності учасників фінансового сектору; виробленні фінансового механізму, адекватного завданням стратегічного розвитку держави.</w:t>
      </w:r>
    </w:p>
    <w:p w:rsidR="00523D1A" w:rsidRDefault="00523D1A" w:rsidP="00523D1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 w:rsidRPr="009D48CA">
        <w:rPr>
          <w:sz w:val="28"/>
          <w:szCs w:val="28"/>
          <w:lang w:val="uk-UA"/>
        </w:rPr>
        <w:t>Рада з фінансової стабільності.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9D48CA">
        <w:rPr>
          <w:sz w:val="28"/>
          <w:szCs w:val="28"/>
          <w:lang w:val="uk-UA"/>
        </w:rPr>
        <w:t>Макропруденційні</w:t>
      </w:r>
      <w:proofErr w:type="spellEnd"/>
      <w:r w:rsidRPr="009D48CA">
        <w:rPr>
          <w:sz w:val="28"/>
          <w:szCs w:val="28"/>
          <w:lang w:val="uk-UA"/>
        </w:rPr>
        <w:t xml:space="preserve"> заходи з регулювання та забезпечення стабільності фінансового сектору.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 w:rsidRPr="009D48CA">
        <w:rPr>
          <w:sz w:val="28"/>
          <w:szCs w:val="28"/>
          <w:lang w:val="uk-UA"/>
        </w:rPr>
        <w:t>Роль центрального банку у забезпечення фінансової стабільності.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shd w:val="clear" w:color="auto" w:fill="FFFFFF"/>
        <w:spacing w:line="240" w:lineRule="atLeast"/>
        <w:ind w:left="0" w:firstLine="709"/>
        <w:jc w:val="both"/>
        <w:outlineLvl w:val="0"/>
        <w:rPr>
          <w:color w:val="000000"/>
          <w:kern w:val="36"/>
          <w:sz w:val="28"/>
          <w:szCs w:val="28"/>
          <w:lang w:val="uk-UA"/>
        </w:rPr>
      </w:pPr>
      <w:r w:rsidRPr="009D48CA">
        <w:rPr>
          <w:color w:val="000000"/>
          <w:kern w:val="36"/>
          <w:sz w:val="28"/>
          <w:szCs w:val="28"/>
          <w:lang w:val="uk-UA"/>
        </w:rPr>
        <w:t>Індекс фінансового стресу як показник стабільності фінансового сектору.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 w:rsidRPr="009D48CA">
        <w:rPr>
          <w:sz w:val="28"/>
          <w:szCs w:val="28"/>
          <w:lang w:val="uk-UA"/>
        </w:rPr>
        <w:t>Комплексна програма розвитку фінансового сектору України.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 w:rsidRPr="009D48CA">
        <w:rPr>
          <w:sz w:val="28"/>
          <w:szCs w:val="28"/>
          <w:lang w:val="uk-UA"/>
        </w:rPr>
        <w:t>Пріоритети регуляторної політики в контексті забезпечення стійкості фінансового сектора в умовах трансформаційних перетворень.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 w:rsidRPr="009D48CA">
        <w:rPr>
          <w:sz w:val="28"/>
          <w:szCs w:val="28"/>
          <w:lang w:val="uk-UA"/>
        </w:rPr>
        <w:t>Стратегія розвитку фінансового сектору України до 2025 року.</w:t>
      </w:r>
    </w:p>
    <w:p w:rsidR="009D48CA" w:rsidRPr="008A4793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rStyle w:val="a5"/>
          <w:b w:val="0"/>
          <w:bCs w:val="0"/>
          <w:sz w:val="28"/>
          <w:szCs w:val="28"/>
          <w:lang w:val="uk-UA"/>
        </w:rPr>
      </w:pPr>
      <w:r w:rsidRPr="009D48CA">
        <w:rPr>
          <w:rStyle w:val="a5"/>
          <w:b w:val="0"/>
          <w:color w:val="000000"/>
          <w:sz w:val="28"/>
          <w:szCs w:val="28"/>
          <w:shd w:val="clear" w:color="auto" w:fill="FFFFFF"/>
          <w:lang w:val="uk-UA"/>
        </w:rPr>
        <w:t>Фінансова інклюзія як стратегічний напрям розвитку фінансового сектору.</w:t>
      </w:r>
    </w:p>
    <w:p w:rsidR="008A4793" w:rsidRDefault="008A4793" w:rsidP="008A4793">
      <w:pPr>
        <w:jc w:val="both"/>
        <w:rPr>
          <w:rStyle w:val="a5"/>
          <w:b w:val="0"/>
          <w:bCs w:val="0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567A962" wp14:editId="1FFD512A">
            <wp:extent cx="5940425" cy="3341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793" w:rsidRDefault="008A4793" w:rsidP="008A4793">
      <w:pPr>
        <w:jc w:val="both"/>
        <w:rPr>
          <w:rStyle w:val="a5"/>
          <w:b w:val="0"/>
          <w:bCs w:val="0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50F2BCA" wp14:editId="25182A2E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793" w:rsidRDefault="008A4793" w:rsidP="008A4793">
      <w:pPr>
        <w:jc w:val="both"/>
        <w:rPr>
          <w:rStyle w:val="a5"/>
          <w:b w:val="0"/>
          <w:bCs w:val="0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0854115" wp14:editId="36AA2200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793" w:rsidRPr="008A4793" w:rsidRDefault="008A4793" w:rsidP="008A4793">
      <w:pPr>
        <w:jc w:val="both"/>
        <w:rPr>
          <w:rStyle w:val="a5"/>
          <w:b w:val="0"/>
          <w:bCs w:val="0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565A1B7" wp14:editId="3DCAB82E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793" w:rsidRDefault="008A4793" w:rsidP="008A4793">
      <w:pPr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C23E714" wp14:editId="14D83FC6">
            <wp:extent cx="5940425" cy="33414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793" w:rsidRDefault="008A4793" w:rsidP="008A4793">
      <w:pPr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C787A62" wp14:editId="5175EC0B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E5C" w:rsidRDefault="00313E5C" w:rsidP="008A4793">
      <w:pPr>
        <w:jc w:val="both"/>
        <w:rPr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A7F0319" wp14:editId="56E07E0E">
            <wp:extent cx="5940425" cy="3341451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E5C" w:rsidRDefault="00313E5C" w:rsidP="008A4793">
      <w:pPr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0B6CC10" wp14:editId="23EC5D15">
            <wp:extent cx="5940425" cy="3341451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E5C" w:rsidRDefault="00313E5C" w:rsidP="008A4793">
      <w:pPr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EC38647" wp14:editId="14EF6B78">
            <wp:extent cx="5940425" cy="3341451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E5C" w:rsidRDefault="00313E5C" w:rsidP="008A4793">
      <w:pPr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8374021" wp14:editId="5258C69D">
            <wp:extent cx="5940425" cy="3341451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E5C" w:rsidRDefault="00313E5C" w:rsidP="008A4793">
      <w:pPr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724852A" wp14:editId="6F85BB80">
            <wp:extent cx="5940425" cy="3341451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E5C" w:rsidRPr="00313E5C" w:rsidRDefault="00313E5C" w:rsidP="008A4793">
      <w:pPr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BDFC08F" wp14:editId="172BAE41">
            <wp:extent cx="5940425" cy="3341451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3E5C" w:rsidRPr="00313E5C" w:rsidSect="00770B74"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90673E"/>
    <w:multiLevelType w:val="hybridMultilevel"/>
    <w:tmpl w:val="159C56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0D7455C"/>
    <w:multiLevelType w:val="hybridMultilevel"/>
    <w:tmpl w:val="E794A342"/>
    <w:lvl w:ilvl="0" w:tplc="61F8D9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4CB4595A"/>
    <w:multiLevelType w:val="hybridMultilevel"/>
    <w:tmpl w:val="42E81C16"/>
    <w:lvl w:ilvl="0" w:tplc="0422000F">
      <w:start w:val="1"/>
      <w:numFmt w:val="decimal"/>
      <w:lvlText w:val="%1."/>
      <w:lvlJc w:val="left"/>
      <w:pPr>
        <w:ind w:left="1460" w:hanging="360"/>
      </w:pPr>
    </w:lvl>
    <w:lvl w:ilvl="1" w:tplc="04220019" w:tentative="1">
      <w:start w:val="1"/>
      <w:numFmt w:val="lowerLetter"/>
      <w:lvlText w:val="%2."/>
      <w:lvlJc w:val="left"/>
      <w:pPr>
        <w:ind w:left="2180" w:hanging="360"/>
      </w:pPr>
    </w:lvl>
    <w:lvl w:ilvl="2" w:tplc="0422001B" w:tentative="1">
      <w:start w:val="1"/>
      <w:numFmt w:val="lowerRoman"/>
      <w:lvlText w:val="%3."/>
      <w:lvlJc w:val="right"/>
      <w:pPr>
        <w:ind w:left="2900" w:hanging="180"/>
      </w:pPr>
    </w:lvl>
    <w:lvl w:ilvl="3" w:tplc="0422000F" w:tentative="1">
      <w:start w:val="1"/>
      <w:numFmt w:val="decimal"/>
      <w:lvlText w:val="%4."/>
      <w:lvlJc w:val="left"/>
      <w:pPr>
        <w:ind w:left="3620" w:hanging="360"/>
      </w:pPr>
    </w:lvl>
    <w:lvl w:ilvl="4" w:tplc="04220019" w:tentative="1">
      <w:start w:val="1"/>
      <w:numFmt w:val="lowerLetter"/>
      <w:lvlText w:val="%5."/>
      <w:lvlJc w:val="left"/>
      <w:pPr>
        <w:ind w:left="4340" w:hanging="360"/>
      </w:pPr>
    </w:lvl>
    <w:lvl w:ilvl="5" w:tplc="0422001B" w:tentative="1">
      <w:start w:val="1"/>
      <w:numFmt w:val="lowerRoman"/>
      <w:lvlText w:val="%6."/>
      <w:lvlJc w:val="right"/>
      <w:pPr>
        <w:ind w:left="5060" w:hanging="180"/>
      </w:pPr>
    </w:lvl>
    <w:lvl w:ilvl="6" w:tplc="0422000F" w:tentative="1">
      <w:start w:val="1"/>
      <w:numFmt w:val="decimal"/>
      <w:lvlText w:val="%7."/>
      <w:lvlJc w:val="left"/>
      <w:pPr>
        <w:ind w:left="5780" w:hanging="360"/>
      </w:pPr>
    </w:lvl>
    <w:lvl w:ilvl="7" w:tplc="04220019" w:tentative="1">
      <w:start w:val="1"/>
      <w:numFmt w:val="lowerLetter"/>
      <w:lvlText w:val="%8."/>
      <w:lvlJc w:val="left"/>
      <w:pPr>
        <w:ind w:left="6500" w:hanging="360"/>
      </w:pPr>
    </w:lvl>
    <w:lvl w:ilvl="8" w:tplc="0422001B" w:tentative="1">
      <w:start w:val="1"/>
      <w:numFmt w:val="lowerRoman"/>
      <w:lvlText w:val="%9."/>
      <w:lvlJc w:val="right"/>
      <w:pPr>
        <w:ind w:left="7220" w:hanging="180"/>
      </w:pPr>
    </w:lvl>
  </w:abstractNum>
  <w:abstractNum w:abstractNumId="3">
    <w:nsid w:val="50510001"/>
    <w:multiLevelType w:val="hybridMultilevel"/>
    <w:tmpl w:val="5CA2470E"/>
    <w:lvl w:ilvl="0" w:tplc="058C03AC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5EE247C6"/>
    <w:multiLevelType w:val="hybridMultilevel"/>
    <w:tmpl w:val="05DAD67E"/>
    <w:lvl w:ilvl="0" w:tplc="7DB2A0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6A7C62F7"/>
    <w:multiLevelType w:val="hybridMultilevel"/>
    <w:tmpl w:val="F8EE616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74CD3700"/>
    <w:multiLevelType w:val="hybridMultilevel"/>
    <w:tmpl w:val="09767104"/>
    <w:lvl w:ilvl="0" w:tplc="18C251B6">
      <w:start w:val="1"/>
      <w:numFmt w:val="decimal"/>
      <w:lvlText w:val="%1."/>
      <w:lvlJc w:val="left"/>
      <w:pPr>
        <w:ind w:left="1417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3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4E4"/>
    <w:rsid w:val="00103AC1"/>
    <w:rsid w:val="00201956"/>
    <w:rsid w:val="002A1EDC"/>
    <w:rsid w:val="002D3324"/>
    <w:rsid w:val="00313E5C"/>
    <w:rsid w:val="0034153A"/>
    <w:rsid w:val="0034709E"/>
    <w:rsid w:val="003D1617"/>
    <w:rsid w:val="004E132E"/>
    <w:rsid w:val="00523D1A"/>
    <w:rsid w:val="00532169"/>
    <w:rsid w:val="005B23E3"/>
    <w:rsid w:val="005D16E3"/>
    <w:rsid w:val="005D7F03"/>
    <w:rsid w:val="0073292F"/>
    <w:rsid w:val="00770B74"/>
    <w:rsid w:val="007A01AF"/>
    <w:rsid w:val="008952AE"/>
    <w:rsid w:val="008A4793"/>
    <w:rsid w:val="008C64E4"/>
    <w:rsid w:val="009D48CA"/>
    <w:rsid w:val="00A32884"/>
    <w:rsid w:val="00B02AD2"/>
    <w:rsid w:val="00B959A2"/>
    <w:rsid w:val="00BF4B88"/>
    <w:rsid w:val="00C47C6B"/>
    <w:rsid w:val="00C73043"/>
    <w:rsid w:val="00D23A61"/>
    <w:rsid w:val="00DF33B9"/>
    <w:rsid w:val="00F841AF"/>
    <w:rsid w:val="00FA57FA"/>
    <w:rsid w:val="00FE7766"/>
    <w:rsid w:val="00FF34EE"/>
    <w:rsid w:val="00FF7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D48C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841AF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FF74A3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9D48C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Strong"/>
    <w:basedOn w:val="a0"/>
    <w:uiPriority w:val="22"/>
    <w:qFormat/>
    <w:rsid w:val="009D48CA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4E13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E13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D48C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841AF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FF74A3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9D48C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Strong"/>
    <w:basedOn w:val="a0"/>
    <w:uiPriority w:val="22"/>
    <w:qFormat/>
    <w:rsid w:val="009D48CA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4E13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E13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666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3.png"/><Relationship Id="rId21" Type="http://schemas.openxmlformats.org/officeDocument/2006/relationships/image" Target="media/image16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hyperlink" Target="javascript:void(0)" TargetMode="External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2179</Words>
  <Characters>12423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2</cp:revision>
  <dcterms:created xsi:type="dcterms:W3CDTF">2021-09-15T12:14:00Z</dcterms:created>
  <dcterms:modified xsi:type="dcterms:W3CDTF">2021-09-15T12:14:00Z</dcterms:modified>
</cp:coreProperties>
</file>